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>
          <w:b/>
          <w:bCs/>
          <w:sz w:val="26"/>
          <w:szCs w:val="26"/>
        </w:rPr>
        <w:t xml:space="preserve">Протокол №  </w:t>
      </w:r>
      <w:r>
        <w:rPr>
          <w:b/>
          <w:bCs/>
          <w:sz w:val="26"/>
          <w:szCs w:val="26"/>
        </w:rPr>
        <w:t>2480</w:t>
      </w:r>
    </w:p>
    <w:p>
      <w:pPr>
        <w:pStyle w:val="Normal"/>
        <w:jc w:val="center"/>
        <w:rPr>
          <w:sz w:val="26"/>
          <w:szCs w:val="26"/>
        </w:rPr>
      </w:pPr>
      <w:r>
        <w:rPr>
          <w:rFonts w:eastAsia="Calibri" w:eastAsiaTheme="minorHAnsi"/>
          <w:b/>
          <w:bCs/>
          <w:sz w:val="26"/>
          <w:szCs w:val="26"/>
          <w:lang w:eastAsia="en-US"/>
        </w:rPr>
        <w:t>рассмотрения единственной заявки</w:t>
      </w:r>
      <w:r>
        <w:rPr>
          <w:b/>
          <w:bCs/>
          <w:sz w:val="26"/>
          <w:szCs w:val="26"/>
        </w:rPr>
        <w:t xml:space="preserve"> на участие в аукционе в электронной форме </w:t>
      </w:r>
      <w:r>
        <w:rPr>
          <w:rFonts w:eastAsia="Calibri" w:cs="Times New Roman"/>
          <w:b/>
          <w:bCs/>
          <w:color w:val="000000"/>
          <w:sz w:val="26"/>
          <w:szCs w:val="26"/>
          <w:lang w:eastAsia="ru-RU"/>
        </w:rPr>
        <w:t xml:space="preserve"> на право заключения контракта с комитетом здравоохранения Курской области на поставку лекарственных препаратов</w:t>
      </w:r>
    </w:p>
    <w:p>
      <w:pPr>
        <w:pStyle w:val="Normal"/>
        <w:jc w:val="center"/>
        <w:rPr>
          <w:sz w:val="26"/>
          <w:szCs w:val="26"/>
        </w:rPr>
      </w:pPr>
      <w:r>
        <w:rPr>
          <w:rFonts w:eastAsia="Calibri" w:cs="Times New Roman"/>
          <w:b/>
          <w:bCs/>
          <w:color w:val="000000"/>
          <w:sz w:val="26"/>
          <w:szCs w:val="26"/>
          <w:lang w:eastAsia="ru-RU"/>
        </w:rPr>
        <w:t xml:space="preserve"> </w:t>
      </w:r>
      <w:r>
        <w:rPr>
          <w:rFonts w:eastAsia="Calibri" w:cs="Times New Roman"/>
          <w:b/>
          <w:bCs/>
          <w:color w:val="000000"/>
          <w:sz w:val="26"/>
          <w:szCs w:val="26"/>
          <w:lang w:eastAsia="ru-RU"/>
        </w:rPr>
        <w:t>(МНН Леветирацетам)</w:t>
      </w:r>
    </w:p>
    <w:p>
      <w:pPr>
        <w:pStyle w:val="Normal"/>
        <w:jc w:val="center"/>
        <w:rPr>
          <w:b/>
          <w:b/>
          <w:bCs/>
          <w:sz w:val="26"/>
          <w:szCs w:val="26"/>
        </w:rPr>
      </w:pPr>
      <w:r>
        <w:rPr>
          <w:b/>
          <w:bCs/>
          <w:sz w:val="26"/>
          <w:szCs w:val="26"/>
        </w:rPr>
      </w:r>
    </w:p>
    <w:p>
      <w:pPr>
        <w:pStyle w:val="Normal"/>
        <w:jc w:val="center"/>
        <w:rPr>
          <w:sz w:val="26"/>
          <w:szCs w:val="26"/>
        </w:rPr>
      </w:pPr>
      <w:r>
        <w:rPr>
          <w:rFonts w:eastAsia="Calibri" w:cs="Times New Roman"/>
          <w:b/>
          <w:bCs/>
          <w:color w:val="000000"/>
          <w:sz w:val="26"/>
          <w:szCs w:val="26"/>
          <w:lang w:val="en-US" w:eastAsia="ru-RU"/>
        </w:rPr>
        <w:t>(</w:t>
      </w:r>
      <w:r>
        <w:rPr>
          <w:rFonts w:eastAsia="Calibri" w:cs="Times New Roman"/>
          <w:b/>
          <w:bCs/>
          <w:color w:val="000000"/>
          <w:sz w:val="26"/>
          <w:szCs w:val="26"/>
          <w:lang w:eastAsia="ru-RU"/>
        </w:rPr>
        <w:t>Регистрационный</w:t>
      </w:r>
      <w:r>
        <w:rPr>
          <w:rFonts w:eastAsia="Calibri" w:cs="Times New Roman"/>
          <w:b/>
          <w:bCs/>
          <w:color w:val="000000"/>
          <w:sz w:val="26"/>
          <w:szCs w:val="26"/>
          <w:lang w:val="en-US" w:eastAsia="ru-RU"/>
        </w:rPr>
        <w:t xml:space="preserve"> </w:t>
      </w:r>
      <w:r>
        <w:rPr>
          <w:rFonts w:eastAsia="Calibri" w:cs="Times New Roman"/>
          <w:b/>
          <w:bCs/>
          <w:color w:val="000000"/>
          <w:sz w:val="26"/>
          <w:szCs w:val="26"/>
          <w:lang w:eastAsia="ru-RU"/>
        </w:rPr>
        <w:t>номер</w:t>
      </w:r>
      <w:r>
        <w:rPr>
          <w:rFonts w:eastAsia="Calibri" w:cs="Times New Roman"/>
          <w:b/>
          <w:bCs/>
          <w:color w:val="000000"/>
          <w:sz w:val="26"/>
          <w:szCs w:val="26"/>
          <w:lang w:val="en-US" w:eastAsia="ru-RU"/>
        </w:rPr>
        <w:t xml:space="preserve"> 09-05/15938)</w:t>
      </w:r>
    </w:p>
    <w:p>
      <w:pPr>
        <w:pStyle w:val="Normal"/>
        <w:jc w:val="center"/>
        <w:rPr>
          <w:sz w:val="26"/>
          <w:szCs w:val="26"/>
        </w:rPr>
      </w:pPr>
      <w:r>
        <w:rPr>
          <w:b/>
          <w:sz w:val="26"/>
          <w:szCs w:val="26"/>
        </w:rPr>
        <w:t xml:space="preserve">ИКЗ: </w:t>
      </w:r>
      <w:r>
        <w:rPr>
          <w:b/>
          <w:bCs/>
          <w:i/>
          <w:color w:val="000000"/>
          <w:sz w:val="26"/>
          <w:szCs w:val="26"/>
        </w:rPr>
        <w:t>192462904003746320100100800032120323</w:t>
      </w:r>
    </w:p>
    <w:p>
      <w:pPr>
        <w:pStyle w:val="Normal"/>
        <w:jc w:val="center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  <w:t xml:space="preserve">    </w:t>
      </w:r>
      <w:r>
        <w:rPr>
          <w:sz w:val="26"/>
          <w:szCs w:val="26"/>
        </w:rPr>
        <w:t xml:space="preserve">г. Курск, ул. Марата, 9                                                 « </w:t>
      </w:r>
      <w:r>
        <w:rPr>
          <w:sz w:val="26"/>
          <w:szCs w:val="26"/>
        </w:rPr>
        <w:t>26</w:t>
      </w:r>
      <w:r>
        <w:rPr>
          <w:sz w:val="26"/>
          <w:szCs w:val="26"/>
        </w:rPr>
        <w:t xml:space="preserve"> »  декабря  2019 год</w:t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jc w:val="center"/>
        <w:rPr>
          <w:color w:val="auto"/>
        </w:rPr>
      </w:pPr>
      <w:r>
        <w:rPr>
          <w:sz w:val="26"/>
          <w:szCs w:val="26"/>
        </w:rPr>
        <w:t>На заседании аукционной комиссии присутствовали:</w:t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tbl>
      <w:tblPr>
        <w:tblW w:w="9043" w:type="dxa"/>
        <w:jc w:val="left"/>
        <w:tblInd w:w="289" w:type="dxa"/>
        <w:tblBorders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2654"/>
        <w:gridCol w:w="6388"/>
      </w:tblGrid>
      <w:tr>
        <w:trPr>
          <w:trHeight w:val="1095" w:hRule="atLeast"/>
        </w:trPr>
        <w:tc>
          <w:tcPr>
            <w:tcW w:w="2654" w:type="dxa"/>
            <w:tcBorders/>
            <w:shd w:fill="auto" w:val="clear"/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6"/>
                <w:szCs w:val="26"/>
              </w:rPr>
              <w:t xml:space="preserve">Давыдова 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6"/>
                <w:szCs w:val="26"/>
              </w:rPr>
              <w:t>Анна Викторовна</w:t>
            </w:r>
          </w:p>
        </w:tc>
        <w:tc>
          <w:tcPr>
            <w:tcW w:w="6388" w:type="dxa"/>
            <w:tcBorders/>
            <w:shd w:fill="auto" w:val="clear"/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6"/>
                <w:szCs w:val="26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</w:tc>
      </w:tr>
      <w:tr>
        <w:trPr>
          <w:trHeight w:val="1407" w:hRule="atLeast"/>
        </w:trPr>
        <w:tc>
          <w:tcPr>
            <w:tcW w:w="2654" w:type="dxa"/>
            <w:tcBorders/>
            <w:shd w:fill="auto" w:val="clear"/>
          </w:tcPr>
          <w:p>
            <w:pPr>
              <w:pStyle w:val="Normal"/>
              <w:jc w:val="both"/>
              <w:rPr>
                <w:i w:val="false"/>
                <w:i w:val="false"/>
                <w:iCs w:val="false"/>
              </w:rPr>
            </w:pPr>
            <w:r>
              <w:rPr>
                <w:sz w:val="26"/>
                <w:szCs w:val="26"/>
              </w:rPr>
              <w:t>Кулагин Кирилл Олегович</w:t>
            </w:r>
          </w:p>
        </w:tc>
        <w:tc>
          <w:tcPr>
            <w:tcW w:w="6388" w:type="dxa"/>
            <w:tcBorders/>
            <w:shd w:fill="auto" w:val="clear"/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6"/>
                <w:szCs w:val="26"/>
              </w:rPr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</w:tc>
      </w:tr>
      <w:tr>
        <w:trPr>
          <w:trHeight w:val="1305" w:hRule="atLeast"/>
        </w:trPr>
        <w:tc>
          <w:tcPr>
            <w:tcW w:w="2654" w:type="dxa"/>
            <w:tcBorders/>
            <w:shd w:fill="auto" w:val="clear"/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6"/>
                <w:szCs w:val="26"/>
              </w:rPr>
              <w:t xml:space="preserve">Бочарова 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6"/>
                <w:szCs w:val="26"/>
              </w:rPr>
              <w:t>Юлия Александровна</w:t>
            </w:r>
          </w:p>
          <w:p>
            <w:pPr>
              <w:pStyle w:val="Normal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6388" w:type="dxa"/>
            <w:tcBorders/>
            <w:shd w:fill="auto" w:val="clear"/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6"/>
                <w:szCs w:val="26"/>
              </w:rPr>
              <w:t>заместитель начальника управления государственного заказа и регулирования контрактной системы комитета по управлению имуществом Курской области</w:t>
            </w:r>
          </w:p>
        </w:tc>
      </w:tr>
      <w:tr>
        <w:trPr>
          <w:trHeight w:val="1305" w:hRule="atLeast"/>
        </w:trPr>
        <w:tc>
          <w:tcPr>
            <w:tcW w:w="2654" w:type="dxa"/>
            <w:tcBorders/>
            <w:shd w:fill="auto" w:val="clear"/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6"/>
                <w:szCs w:val="26"/>
              </w:rPr>
              <w:t>Пронская              Светлана Александровна</w:t>
            </w:r>
          </w:p>
        </w:tc>
        <w:tc>
          <w:tcPr>
            <w:tcW w:w="6388" w:type="dxa"/>
            <w:tcBorders/>
            <w:shd w:fill="auto" w:val="clear"/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6"/>
                <w:szCs w:val="26"/>
              </w:rPr>
              <w:t>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</w:tc>
      </w:tr>
      <w:tr>
        <w:trPr>
          <w:trHeight w:val="787" w:hRule="atLeast"/>
        </w:trPr>
        <w:tc>
          <w:tcPr>
            <w:tcW w:w="2654" w:type="dxa"/>
            <w:tcBorders/>
            <w:shd w:fill="auto" w:val="clear"/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6"/>
                <w:szCs w:val="26"/>
              </w:rPr>
              <w:t>Молошников Валентин Сергеевич</w:t>
            </w:r>
          </w:p>
        </w:tc>
        <w:tc>
          <w:tcPr>
            <w:tcW w:w="6388" w:type="dxa"/>
            <w:tcBorders/>
            <w:shd w:fill="auto" w:val="clear"/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6"/>
                <w:szCs w:val="26"/>
                <w:lang w:val="en-US"/>
              </w:rPr>
              <w:t xml:space="preserve">начальник отдела ОКУ ''ЦБ при комитете здравоохранения Курской области'' </w:t>
            </w:r>
          </w:p>
        </w:tc>
      </w:tr>
      <w:tr>
        <w:trPr>
          <w:trHeight w:val="665" w:hRule="atLeast"/>
        </w:trPr>
        <w:tc>
          <w:tcPr>
            <w:tcW w:w="2654" w:type="dxa"/>
            <w:tcBorders/>
            <w:shd w:fill="auto" w:val="clear"/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6"/>
                <w:szCs w:val="26"/>
              </w:rPr>
              <w:t>Чеверда Екатерина Александровна</w:t>
            </w:r>
          </w:p>
        </w:tc>
        <w:tc>
          <w:tcPr>
            <w:tcW w:w="6388" w:type="dxa"/>
            <w:tcBorders/>
            <w:shd w:fill="auto" w:val="clear"/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6"/>
                <w:szCs w:val="26"/>
              </w:rPr>
              <w:t xml:space="preserve">эксперт отдела организации лекарственного обеспечения комитета здравоохранения Курской области </w:t>
            </w:r>
          </w:p>
        </w:tc>
      </w:tr>
      <w:tr>
        <w:trPr>
          <w:trHeight w:val="692" w:hRule="atLeast"/>
        </w:trPr>
        <w:tc>
          <w:tcPr>
            <w:tcW w:w="2654" w:type="dxa"/>
            <w:tcBorders/>
            <w:shd w:fill="auto" w:val="clear"/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6"/>
                <w:szCs w:val="26"/>
              </w:rPr>
              <w:t>Кабдина Нелли Станиславовна</w:t>
            </w:r>
          </w:p>
        </w:tc>
        <w:tc>
          <w:tcPr>
            <w:tcW w:w="6388" w:type="dxa"/>
            <w:tcBorders/>
            <w:shd w:fill="auto" w:val="clear"/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6"/>
                <w:szCs w:val="26"/>
              </w:rPr>
              <w:t xml:space="preserve">консультант отдела лекарственного обеспечения комитета здравоохранения Курской области </w:t>
            </w:r>
          </w:p>
        </w:tc>
      </w:tr>
    </w:tbl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 w:val="28"/>
          <w:szCs w:val="28"/>
        </w:rPr>
      </w:pPr>
      <w:r>
        <w:rPr>
          <w:sz w:val="26"/>
          <w:szCs w:val="26"/>
        </w:rPr>
        <w:t xml:space="preserve">На заседании аукционной комиссии присутствовали 7 членов комиссии. </w:t>
      </w:r>
    </w:p>
    <w:p>
      <w:pPr>
        <w:pStyle w:val="Normal"/>
        <w:rPr>
          <w:sz w:val="24"/>
          <w:szCs w:val="24"/>
        </w:rPr>
      </w:pPr>
      <w:r>
        <w:rPr>
          <w:sz w:val="26"/>
          <w:szCs w:val="26"/>
        </w:rPr>
        <w:t>Комиссия правомочна принимать решения.</w:t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bCs/>
          <w:sz w:val="26"/>
          <w:szCs w:val="26"/>
        </w:rPr>
        <w:t>Наименование объекта закупки</w:t>
      </w:r>
      <w:r>
        <w:rPr>
          <w:sz w:val="26"/>
          <w:szCs w:val="26"/>
        </w:rPr>
        <w:t xml:space="preserve"> –</w:t>
      </w:r>
      <w:r>
        <w:rPr>
          <w:b/>
          <w:sz w:val="26"/>
          <w:szCs w:val="26"/>
        </w:rPr>
        <w:t xml:space="preserve"> </w:t>
      </w:r>
      <w:r>
        <w:rPr>
          <w:b/>
          <w:bCs/>
          <w:color w:val="000000"/>
          <w:sz w:val="26"/>
          <w:szCs w:val="26"/>
        </w:rPr>
        <w:t>Поставка лекарственных препаратов (МНН Леветирацетам)</w:t>
      </w:r>
    </w:p>
    <w:p>
      <w:pPr>
        <w:pStyle w:val="Normal"/>
        <w:rPr>
          <w:b/>
          <w:b/>
          <w:bCs/>
          <w:color w:val="000000"/>
        </w:rPr>
      </w:pPr>
      <w:r>
        <w:rPr>
          <w:b/>
          <w:bCs/>
          <w:color w:val="000000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  <w:t>Начальная (максимальная) цена контракта:</w:t>
      </w:r>
      <w:r>
        <w:rPr>
          <w:b/>
          <w:bCs/>
          <w:sz w:val="26"/>
          <w:szCs w:val="26"/>
        </w:rPr>
        <w:t xml:space="preserve"> </w:t>
      </w:r>
      <w:r>
        <w:rPr>
          <w:b/>
          <w:bCs/>
          <w:color w:val="000000"/>
          <w:sz w:val="26"/>
          <w:szCs w:val="26"/>
        </w:rPr>
        <w:t>1 036 341,00 руб.</w:t>
      </w:r>
    </w:p>
    <w:p>
      <w:pPr>
        <w:pStyle w:val="Normal"/>
        <w:rPr>
          <w:b/>
          <w:b/>
          <w:bCs/>
          <w:color w:val="000000"/>
        </w:rPr>
      </w:pPr>
      <w:r>
        <w:rPr>
          <w:b/>
          <w:bCs/>
          <w:color w:val="000000"/>
        </w:rPr>
      </w:r>
    </w:p>
    <w:p>
      <w:pPr>
        <w:pStyle w:val="Normal"/>
        <w:rPr>
          <w:b/>
          <w:b/>
          <w:bCs/>
          <w:color w:val="000000"/>
        </w:rPr>
      </w:pPr>
      <w:r>
        <w:rPr>
          <w:b/>
          <w:bCs/>
          <w:color w:val="000000"/>
        </w:rPr>
      </w:r>
    </w:p>
    <w:p>
      <w:pPr>
        <w:pStyle w:val="Normal"/>
        <w:rPr>
          <w:b/>
          <w:b/>
          <w:bCs/>
          <w:color w:val="000000"/>
        </w:rPr>
      </w:pPr>
      <w:r>
        <w:rPr>
          <w:b/>
          <w:bCs/>
          <w:color w:val="000000"/>
        </w:rPr>
      </w:r>
    </w:p>
    <w:p>
      <w:pPr>
        <w:pStyle w:val="Normal"/>
        <w:jc w:val="both"/>
        <w:rPr/>
      </w:pPr>
      <w:r>
        <w:rPr>
          <w:rStyle w:val="FontStyle13"/>
          <w:sz w:val="26"/>
          <w:szCs w:val="26"/>
        </w:rPr>
        <w:tab/>
        <w:t>На участие в аукционе в электронной форме оператором электронной площадки была представлена 1 заявка, имеющая идентификационный номер</w:t>
      </w:r>
      <w:bookmarkStart w:id="0" w:name="__DdeLink__3593_2636603536"/>
      <w:bookmarkEnd w:id="0"/>
      <w:r>
        <w:rPr>
          <w:rStyle w:val="FontStyle13"/>
          <w:sz w:val="26"/>
          <w:szCs w:val="26"/>
        </w:rPr>
        <w:t>- ЕА-38694</w:t>
      </w:r>
      <w:r>
        <w:rPr>
          <w:rStyle w:val="FontStyle13"/>
          <w:color w:val="000000"/>
          <w:sz w:val="26"/>
          <w:szCs w:val="26"/>
        </w:rPr>
        <w:t>.</w:t>
      </w:r>
    </w:p>
    <w:p>
      <w:pPr>
        <w:pStyle w:val="Normal"/>
        <w:jc w:val="both"/>
        <w:rPr>
          <w:rStyle w:val="FontStyle13"/>
          <w:color w:val="000000"/>
          <w:sz w:val="26"/>
          <w:szCs w:val="26"/>
        </w:rPr>
      </w:pPr>
      <w:r>
        <w:rPr>
          <w:color w:val="000000"/>
          <w:sz w:val="26"/>
          <w:szCs w:val="26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6"/>
          <w:szCs w:val="26"/>
        </w:rPr>
        <w:tab/>
        <w:t>Аукционная комиссия рассмотрела единственную заявку участника закупки и документы этой заявки на предмет соответствия требованиям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6"/>
          <w:szCs w:val="26"/>
        </w:rPr>
        <w:t>Членами аукционной комиссии  принято решение:</w:t>
      </w:r>
    </w:p>
    <w:tbl>
      <w:tblPr>
        <w:tblStyle w:val="af"/>
        <w:tblW w:w="9570" w:type="dxa"/>
        <w:jc w:val="left"/>
        <w:tblInd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0" w:type="dxa"/>
          <w:left w:w="97" w:type="dxa"/>
          <w:bottom w:w="0" w:type="dxa"/>
          <w:right w:w="108" w:type="dxa"/>
        </w:tblCellMar>
        <w:tblLook w:val="04a0"/>
      </w:tblPr>
      <w:tblGrid>
        <w:gridCol w:w="4784"/>
        <w:gridCol w:w="4785"/>
      </w:tblGrid>
      <w:tr>
        <w:trPr/>
        <w:tc>
          <w:tcPr>
            <w:tcW w:w="4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Члены комиссии</w:t>
            </w:r>
          </w:p>
        </w:tc>
        <w:tc>
          <w:tcPr>
            <w:tcW w:w="4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sz w:val="26"/>
                <w:szCs w:val="26"/>
              </w:rPr>
              <w:t xml:space="preserve">Решение по Заявке №  </w:t>
            </w:r>
            <w:r>
              <w:rPr>
                <w:rStyle w:val="FontStyle13"/>
                <w:sz w:val="26"/>
                <w:szCs w:val="26"/>
              </w:rPr>
              <w:t>ЕА-38694</w:t>
            </w:r>
          </w:p>
        </w:tc>
      </w:tr>
      <w:tr>
        <w:trPr/>
        <w:tc>
          <w:tcPr>
            <w:tcW w:w="4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А.В. Давыдова </w:t>
            </w:r>
          </w:p>
        </w:tc>
        <w:tc>
          <w:tcPr>
            <w:tcW w:w="4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Соответствует требованиям</w:t>
            </w:r>
          </w:p>
        </w:tc>
      </w:tr>
      <w:tr>
        <w:trPr/>
        <w:tc>
          <w:tcPr>
            <w:tcW w:w="4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К.О. Кулагин </w:t>
            </w:r>
          </w:p>
        </w:tc>
        <w:tc>
          <w:tcPr>
            <w:tcW w:w="4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Соответствует требованиям</w:t>
            </w:r>
          </w:p>
        </w:tc>
      </w:tr>
      <w:tr>
        <w:trPr/>
        <w:tc>
          <w:tcPr>
            <w:tcW w:w="4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Ю.А. Бочарова </w:t>
            </w:r>
          </w:p>
        </w:tc>
        <w:tc>
          <w:tcPr>
            <w:tcW w:w="4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Соответствует требованиям</w:t>
            </w:r>
          </w:p>
        </w:tc>
      </w:tr>
      <w:tr>
        <w:trPr/>
        <w:tc>
          <w:tcPr>
            <w:tcW w:w="4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С.А. Пронская</w:t>
            </w:r>
          </w:p>
        </w:tc>
        <w:tc>
          <w:tcPr>
            <w:tcW w:w="4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Соответствует требованиям</w:t>
            </w:r>
          </w:p>
        </w:tc>
      </w:tr>
      <w:tr>
        <w:trPr/>
        <w:tc>
          <w:tcPr>
            <w:tcW w:w="4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en-US"/>
              </w:rPr>
              <w:t xml:space="preserve">В.С. Молошников </w:t>
            </w:r>
          </w:p>
        </w:tc>
        <w:tc>
          <w:tcPr>
            <w:tcW w:w="4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Соответствует требованиям</w:t>
            </w:r>
          </w:p>
        </w:tc>
      </w:tr>
      <w:tr>
        <w:trPr/>
        <w:tc>
          <w:tcPr>
            <w:tcW w:w="4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en-US"/>
              </w:rPr>
              <w:t xml:space="preserve">Е.А. Чеверда </w:t>
            </w:r>
          </w:p>
        </w:tc>
        <w:tc>
          <w:tcPr>
            <w:tcW w:w="4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Соответствует требованиям</w:t>
            </w:r>
          </w:p>
        </w:tc>
      </w:tr>
      <w:tr>
        <w:trPr/>
        <w:tc>
          <w:tcPr>
            <w:tcW w:w="4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en-US"/>
              </w:rPr>
              <w:t xml:space="preserve">Н.С. Кабдина </w:t>
            </w:r>
          </w:p>
        </w:tc>
        <w:tc>
          <w:tcPr>
            <w:tcW w:w="4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Соответствует требованиям</w:t>
            </w:r>
          </w:p>
        </w:tc>
      </w:tr>
    </w:tbl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jc w:val="both"/>
        <w:rPr>
          <w:sz w:val="26"/>
          <w:szCs w:val="26"/>
        </w:rPr>
      </w:pPr>
      <w:r>
        <w:rPr>
          <w:rFonts w:eastAsia="Calibri" w:eastAsiaTheme="minorHAnsi"/>
          <w:sz w:val="26"/>
          <w:szCs w:val="26"/>
          <w:lang w:eastAsia="en-US"/>
        </w:rPr>
        <w:tab/>
        <w:t xml:space="preserve">1. Участник аукциона –ООО «Лекомед» подавший единственную заявку на участие в аукционе в электронной форме </w:t>
      </w:r>
      <w:r>
        <w:rPr>
          <w:rFonts w:eastAsia="Calibri" w:cs="Times New Roman"/>
          <w:b w:val="false"/>
          <w:bCs w:val="false"/>
          <w:color w:val="000000"/>
          <w:sz w:val="26"/>
          <w:szCs w:val="26"/>
          <w:lang w:eastAsia="ru-RU"/>
        </w:rPr>
        <w:t>на право заключения контракта с комитетом здравоохранения Курской области на поставку лекарственных препаратов (МНН Леветирацетам)</w:t>
      </w:r>
      <w:r>
        <w:rPr>
          <w:b w:val="false"/>
          <w:bCs w:val="false"/>
          <w:sz w:val="26"/>
          <w:szCs w:val="26"/>
        </w:rPr>
        <w:t xml:space="preserve"> </w:t>
      </w:r>
      <w:r>
        <w:rPr>
          <w:rFonts w:eastAsia="Calibri" w:eastAsiaTheme="minorHAnsi"/>
          <w:b w:val="false"/>
          <w:bCs w:val="false"/>
          <w:sz w:val="26"/>
          <w:szCs w:val="26"/>
          <w:lang w:eastAsia="en-US"/>
        </w:rPr>
        <w:t xml:space="preserve">и поданная им заявка соответствует требованиям </w:t>
      </w:r>
      <w:r>
        <w:rPr>
          <w:b w:val="false"/>
          <w:bCs w:val="false"/>
          <w:sz w:val="26"/>
          <w:szCs w:val="26"/>
        </w:rPr>
        <w:t>Федерального закона от</w:t>
      </w:r>
      <w:r>
        <w:rPr>
          <w:sz w:val="26"/>
          <w:szCs w:val="26"/>
        </w:rPr>
        <w:t xml:space="preserve"> 05.04.2013 №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tbl>
      <w:tblPr>
        <w:tblW w:w="9014" w:type="dxa"/>
        <w:jc w:val="left"/>
        <w:tblInd w:w="3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90"/>
        <w:gridCol w:w="6923"/>
      </w:tblGrid>
      <w:tr>
        <w:trPr>
          <w:trHeight w:val="1144" w:hRule="atLeast"/>
        </w:trPr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rStyle w:val="FontStyle13"/>
                <w:sz w:val="26"/>
                <w:szCs w:val="26"/>
              </w:rPr>
              <w:t>Идентификационный номер заявки</w:t>
            </w:r>
          </w:p>
        </w:tc>
        <w:tc>
          <w:tcPr>
            <w:tcW w:w="6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rFonts w:eastAsia="Calibri" w:eastAsiaTheme="minorHAnsi"/>
                <w:sz w:val="26"/>
                <w:szCs w:val="26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2">
              <w:r>
                <w:rPr>
                  <w:rStyle w:val="ListLabel1"/>
                  <w:rFonts w:eastAsia="Calibri" w:eastAsiaTheme="minorHAnsi"/>
                  <w:sz w:val="26"/>
                  <w:szCs w:val="26"/>
                  <w:lang w:eastAsia="en-US"/>
                </w:rPr>
                <w:t>ст. 14</w:t>
              </w:r>
            </w:hyperlink>
            <w:r>
              <w:rPr>
                <w:rFonts w:eastAsia="Calibri" w:eastAsiaTheme="minorHAnsi"/>
                <w:sz w:val="26"/>
                <w:szCs w:val="26"/>
                <w:lang w:eastAsia="en-US"/>
              </w:rPr>
              <w:t xml:space="preserve"> Федерального закона «О контрактной системе в сфере закупок товаров, работ, услуг для обеспечения государственных и муниципальных нужд»:</w:t>
            </w:r>
          </w:p>
        </w:tc>
      </w:tr>
      <w:tr>
        <w:trPr>
          <w:trHeight w:val="465" w:hRule="atLeast"/>
        </w:trPr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rStyle w:val="FontStyle13"/>
                <w:sz w:val="26"/>
                <w:szCs w:val="26"/>
              </w:rPr>
              <w:t>ЕА-38694</w:t>
            </w:r>
          </w:p>
        </w:tc>
        <w:tc>
          <w:tcPr>
            <w:tcW w:w="6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rStyle w:val="FontStyle13"/>
                <w:sz w:val="26"/>
                <w:szCs w:val="26"/>
              </w:rPr>
              <w:t>Не содержит</w:t>
            </w:r>
          </w:p>
        </w:tc>
      </w:tr>
    </w:tbl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>
      <w:pPr>
        <w:pStyle w:val="Normal"/>
        <w:jc w:val="both"/>
        <w:rPr/>
      </w:pPr>
      <w:r>
        <w:rPr>
          <w:sz w:val="26"/>
          <w:szCs w:val="26"/>
        </w:rPr>
        <w:t xml:space="preserve">2. В связи с тем, что по окончанию срока подачи заявок на участие в </w:t>
      </w:r>
      <w:r>
        <w:rPr>
          <w:rStyle w:val="FontStyle13"/>
          <w:sz w:val="26"/>
          <w:szCs w:val="26"/>
        </w:rPr>
        <w:t xml:space="preserve">аукционе </w:t>
      </w:r>
      <w:r>
        <w:rPr>
          <w:sz w:val="26"/>
          <w:szCs w:val="26"/>
        </w:rPr>
        <w:t xml:space="preserve">в электронной форме подана только одна заявка, аукцион в электронной форме </w:t>
      </w:r>
      <w:r>
        <w:rPr>
          <w:rFonts w:eastAsia="Calibri" w:cs="Times New Roman"/>
          <w:b w:val="false"/>
          <w:bCs w:val="false"/>
          <w:color w:val="000000"/>
          <w:sz w:val="26"/>
          <w:szCs w:val="26"/>
          <w:lang w:eastAsia="ru-RU"/>
        </w:rPr>
        <w:t>на право заключения контракта с комитетом здравоохранения Курской области на поставку лекарственных препаратов (МНН Леветирацетам)</w:t>
      </w:r>
      <w:r>
        <w:rPr>
          <w:sz w:val="26"/>
          <w:szCs w:val="26"/>
        </w:rPr>
        <w:t xml:space="preserve">, </w:t>
      </w:r>
      <w:r>
        <w:rPr>
          <w:b/>
          <w:sz w:val="26"/>
          <w:szCs w:val="26"/>
        </w:rPr>
        <w:t>признается несостоявшимся.</w:t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Cs w:val="24"/>
        </w:rPr>
      </w:pPr>
      <w:r>
        <w:rPr>
          <w:sz w:val="26"/>
          <w:szCs w:val="26"/>
        </w:rPr>
        <w:tab/>
        <w:t>Протокол составлен в одном экземпляре, который хранится в комитете по управлению имуществом Курской области и подписан всеми присутствующими членами аукционной комиссии.</w:t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tbl>
      <w:tblPr>
        <w:tblW w:w="9889" w:type="dxa"/>
        <w:jc w:val="left"/>
        <w:tblInd w:w="0" w:type="dxa"/>
        <w:tblBorders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6615"/>
        <w:gridCol w:w="244"/>
        <w:gridCol w:w="3030"/>
      </w:tblGrid>
      <w:tr>
        <w:trPr>
          <w:trHeight w:val="746" w:hRule="atLeast"/>
        </w:trPr>
        <w:tc>
          <w:tcPr>
            <w:tcW w:w="6615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6"/>
                <w:szCs w:val="26"/>
              </w:rPr>
              <w:t>Председатель  комиссии:</w:t>
            </w:r>
          </w:p>
        </w:tc>
        <w:tc>
          <w:tcPr>
            <w:tcW w:w="244" w:type="dxa"/>
            <w:tcBorders/>
            <w:shd w:fill="auto" w:val="clear"/>
          </w:tcPr>
          <w:p>
            <w:pPr>
              <w:pStyle w:val="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3030" w:type="dxa"/>
            <w:tcBorders/>
            <w:shd w:fill="auto" w:val="clear"/>
          </w:tcPr>
          <w:p>
            <w:pPr>
              <w:pStyle w:val="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6"/>
                <w:szCs w:val="26"/>
              </w:rPr>
              <w:t xml:space="preserve">А.В. Давыдова </w:t>
            </w:r>
          </w:p>
          <w:p>
            <w:pPr>
              <w:pStyle w:val="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>
          <w:trHeight w:val="559" w:hRule="atLeast"/>
        </w:trPr>
        <w:tc>
          <w:tcPr>
            <w:tcW w:w="6615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6"/>
                <w:szCs w:val="26"/>
              </w:rPr>
              <w:t>Зам. председателя комиссии:</w:t>
            </w:r>
          </w:p>
        </w:tc>
        <w:tc>
          <w:tcPr>
            <w:tcW w:w="244" w:type="dxa"/>
            <w:tcBorders/>
            <w:shd w:fill="auto" w:val="clear"/>
          </w:tcPr>
          <w:p>
            <w:pPr>
              <w:pStyle w:val="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3030" w:type="dxa"/>
            <w:tcBorders/>
            <w:shd w:fill="auto" w:val="clear"/>
          </w:tcPr>
          <w:p>
            <w:pPr>
              <w:pStyle w:val="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6"/>
                <w:szCs w:val="26"/>
              </w:rPr>
              <w:t xml:space="preserve">К.О. Кулагин </w:t>
            </w:r>
          </w:p>
          <w:p>
            <w:pPr>
              <w:pStyle w:val="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>
          <w:trHeight w:val="779" w:hRule="atLeast"/>
        </w:trPr>
        <w:tc>
          <w:tcPr>
            <w:tcW w:w="6615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6"/>
                <w:szCs w:val="26"/>
              </w:rPr>
              <w:t>Секретарь комиссии:</w:t>
            </w:r>
          </w:p>
        </w:tc>
        <w:tc>
          <w:tcPr>
            <w:tcW w:w="244" w:type="dxa"/>
            <w:tcBorders/>
            <w:shd w:fill="auto" w:val="clear"/>
          </w:tcPr>
          <w:p>
            <w:pPr>
              <w:pStyle w:val="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3030" w:type="dxa"/>
            <w:tcBorders/>
            <w:shd w:fill="auto" w:val="clear"/>
          </w:tcPr>
          <w:p>
            <w:pPr>
              <w:pStyle w:val="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6"/>
                <w:szCs w:val="26"/>
              </w:rPr>
              <w:t>С.А. Пронская</w:t>
            </w:r>
          </w:p>
          <w:p>
            <w:pPr>
              <w:pStyle w:val="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>
          <w:trHeight w:val="704" w:hRule="atLeast"/>
        </w:trPr>
        <w:tc>
          <w:tcPr>
            <w:tcW w:w="6615" w:type="dxa"/>
            <w:vMerge w:val="restart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6"/>
                <w:szCs w:val="26"/>
              </w:rPr>
              <w:t>Члены аукционной комиссии:</w:t>
            </w:r>
          </w:p>
        </w:tc>
        <w:tc>
          <w:tcPr>
            <w:tcW w:w="244" w:type="dxa"/>
            <w:vMerge w:val="restart"/>
            <w:tcBorders/>
            <w:shd w:fill="auto" w:val="clear"/>
          </w:tcPr>
          <w:p>
            <w:pPr>
              <w:pStyle w:val="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3030" w:type="dxa"/>
            <w:tcBorders/>
            <w:shd w:fill="auto" w:val="clear"/>
          </w:tcPr>
          <w:p>
            <w:pPr>
              <w:pStyle w:val="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6"/>
                <w:szCs w:val="26"/>
              </w:rPr>
              <w:t xml:space="preserve">Ю.А. Бочарова </w:t>
            </w:r>
          </w:p>
          <w:p>
            <w:pPr>
              <w:pStyle w:val="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>
          <w:trHeight w:val="716" w:hRule="atLeast"/>
        </w:trPr>
        <w:tc>
          <w:tcPr>
            <w:tcW w:w="6615" w:type="dxa"/>
            <w:vMerge w:val="continue"/>
            <w:tcBorders/>
            <w:shd w:fill="auto" w:val="clear"/>
          </w:tcPr>
          <w:p>
            <w:pPr>
              <w:pStyle w:val="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244" w:type="dxa"/>
            <w:vMerge w:val="continue"/>
            <w:tcBorders/>
            <w:shd w:fill="auto" w:val="clear"/>
          </w:tcPr>
          <w:p>
            <w:pPr>
              <w:pStyle w:val="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3030" w:type="dxa"/>
            <w:tcBorders/>
            <w:shd w:fill="auto" w:val="clear"/>
          </w:tcPr>
          <w:p>
            <w:pPr>
              <w:pStyle w:val="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color w:val="000000"/>
                <w:sz w:val="26"/>
                <w:szCs w:val="26"/>
                <w:lang w:val="en-US"/>
              </w:rPr>
              <w:t xml:space="preserve">В.С. Молошников </w:t>
            </w:r>
          </w:p>
          <w:p>
            <w:pPr>
              <w:pStyle w:val="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>
          <w:trHeight w:val="557" w:hRule="atLeast"/>
        </w:trPr>
        <w:tc>
          <w:tcPr>
            <w:tcW w:w="6615" w:type="dxa"/>
            <w:tcBorders/>
            <w:shd w:fill="auto" w:val="clear"/>
          </w:tcPr>
          <w:p>
            <w:pPr>
              <w:pStyle w:val="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244" w:type="dxa"/>
            <w:tcBorders/>
            <w:shd w:fill="auto" w:val="clear"/>
          </w:tcPr>
          <w:p>
            <w:pPr>
              <w:pStyle w:val="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3030" w:type="dxa"/>
            <w:tcBorders/>
            <w:shd w:fill="auto" w:val="clear"/>
          </w:tcPr>
          <w:p>
            <w:pPr>
              <w:pStyle w:val="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color w:val="000000"/>
                <w:sz w:val="26"/>
                <w:szCs w:val="26"/>
                <w:lang w:val="en-US"/>
              </w:rPr>
              <w:t xml:space="preserve">Е.А. Чеверда </w:t>
            </w:r>
          </w:p>
          <w:p>
            <w:pPr>
              <w:pStyle w:val="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>
          <w:trHeight w:val="557" w:hRule="atLeast"/>
        </w:trPr>
        <w:tc>
          <w:tcPr>
            <w:tcW w:w="6615" w:type="dxa"/>
            <w:tcBorders/>
            <w:shd w:fill="auto" w:val="clear"/>
          </w:tcPr>
          <w:p>
            <w:pPr>
              <w:pStyle w:val="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244" w:type="dxa"/>
            <w:tcBorders/>
            <w:shd w:fill="auto" w:val="clear"/>
          </w:tcPr>
          <w:p>
            <w:pPr>
              <w:pStyle w:val="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3030" w:type="dxa"/>
            <w:tcBorders/>
            <w:shd w:fill="auto" w:val="clear"/>
          </w:tcPr>
          <w:p>
            <w:pPr>
              <w:pStyle w:val="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color w:val="000000"/>
                <w:sz w:val="26"/>
                <w:szCs w:val="26"/>
                <w:lang w:val="en-US"/>
              </w:rPr>
              <w:t xml:space="preserve">Н.С. Кабдина </w:t>
            </w:r>
          </w:p>
          <w:p>
            <w:pPr>
              <w:pStyle w:val="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w="11906" w:h="16838"/>
      <w:pgMar w:left="1701" w:right="513" w:header="0" w:top="1134" w:footer="0" w:bottom="568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Arial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4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0" w:semiHidden="0" w:unhideWhenUsed="0" w:qFormat="1"/>
    <w:lsdException w:name="Default Paragraph Font" w:uiPriority="1"/>
    <w:lsdException w:name="Body Text Indent" w:uiPriority="0"/>
    <w:lsdException w:name="Subtitle" w:uiPriority="11" w:semiHidden="0" w:unhideWhenUsed="0" w:qFormat="1"/>
    <w:lsdException w:name="Body Text Indent 2" w:uiPriority="0"/>
    <w:lsdException w:name="Strong" w:uiPriority="22" w:semiHidden="0" w:unhideWhenUsed="0" w:qFormat="1"/>
    <w:lsdException w:name="Emphasis" w:uiPriority="0" w:semiHidden="0" w:unhideWhenUsed="0" w:qFormat="1"/>
    <w:lsdException w:name="Normal (Web)" w:uiPriority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b813fd"/>
    <w:pPr>
      <w:widowControl/>
      <w:overflowPunct w:val="fals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Название Знак"/>
    <w:basedOn w:val="DefaultParagraphFont"/>
    <w:link w:val="a3"/>
    <w:qFormat/>
    <w:rsid w:val="00b813fd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Style15" w:customStyle="1">
    <w:name w:val="Основной текст с отступом Знак"/>
    <w:basedOn w:val="DefaultParagraphFont"/>
    <w:link w:val="a5"/>
    <w:qFormat/>
    <w:rsid w:val="00b813fd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2" w:customStyle="1">
    <w:name w:val="Основной текст с отступом 2 Знак"/>
    <w:basedOn w:val="DefaultParagraphFont"/>
    <w:link w:val="2"/>
    <w:semiHidden/>
    <w:qFormat/>
    <w:rsid w:val="00b813fd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ConsPlusNormal" w:customStyle="1">
    <w:name w:val="ConsPlusNormal Знак"/>
    <w:link w:val="ConsPlusNormal0"/>
    <w:qFormat/>
    <w:locked/>
    <w:rsid w:val="00b813fd"/>
    <w:rPr>
      <w:rFonts w:ascii="Arial" w:hAnsi="Arial" w:eastAsia="Times New Roman" w:cs="Arial"/>
      <w:sz w:val="20"/>
      <w:szCs w:val="20"/>
      <w:lang w:eastAsia="ru-RU"/>
    </w:rPr>
  </w:style>
  <w:style w:type="character" w:styleId="FontStyle13" w:customStyle="1">
    <w:name w:val="Font Style13"/>
    <w:basedOn w:val="DefaultParagraphFont"/>
    <w:uiPriority w:val="99"/>
    <w:qFormat/>
    <w:rsid w:val="00b813fd"/>
    <w:rPr>
      <w:rFonts w:ascii="Times New Roman" w:hAnsi="Times New Roman" w:cs="Times New Roman"/>
      <w:sz w:val="26"/>
      <w:szCs w:val="26"/>
    </w:rPr>
  </w:style>
  <w:style w:type="character" w:styleId="Style16">
    <w:name w:val="Выделение"/>
    <w:qFormat/>
    <w:rsid w:val="006777c7"/>
    <w:rPr>
      <w:i/>
      <w:iCs/>
    </w:rPr>
  </w:style>
  <w:style w:type="character" w:styleId="FontStyle12" w:customStyle="1">
    <w:name w:val="Font Style12"/>
    <w:basedOn w:val="DefaultParagraphFont"/>
    <w:uiPriority w:val="99"/>
    <w:qFormat/>
    <w:rsid w:val="00356799"/>
    <w:rPr>
      <w:rFonts w:ascii="Times New Roman" w:hAnsi="Times New Roman" w:cs="Times New Roman"/>
      <w:b/>
      <w:bCs/>
      <w:sz w:val="26"/>
      <w:szCs w:val="26"/>
    </w:rPr>
  </w:style>
  <w:style w:type="character" w:styleId="Style17" w:customStyle="1">
    <w:name w:val="Обычный (веб) Знак"/>
    <w:link w:val="a8"/>
    <w:qFormat/>
    <w:locked/>
    <w:rsid w:val="001f51d2"/>
    <w:rPr>
      <w:rFonts w:ascii="Times New Roman" w:hAnsi="Times New Roman" w:eastAsia="Times New Roman" w:cs="Times New Roman"/>
      <w:sz w:val="24"/>
      <w:szCs w:val="24"/>
    </w:rPr>
  </w:style>
  <w:style w:type="character" w:styleId="ListLabel1">
    <w:name w:val="ListLabel 1"/>
    <w:qFormat/>
    <w:rPr>
      <w:rFonts w:eastAsia="Calibri" w:eastAsiaTheme="minorHAnsi"/>
      <w:lang w:eastAsia="en-US"/>
    </w:rPr>
  </w:style>
  <w:style w:type="character" w:styleId="Style18">
    <w:name w:val="Интернет-ссылка"/>
    <w:rPr>
      <w:color w:val="000080"/>
      <w:u w:val="single"/>
      <w:lang w:val="zxx" w:eastAsia="zxx" w:bidi="zxx"/>
    </w:rPr>
  </w:style>
  <w:style w:type="character" w:styleId="ListLabel2">
    <w:name w:val="ListLabel 2"/>
    <w:qFormat/>
    <w:rPr>
      <w:rFonts w:eastAsia="Calibri" w:eastAsiaTheme="minorHAnsi"/>
      <w:sz w:val="20"/>
      <w:szCs w:val="20"/>
      <w:lang w:eastAsia="en-US"/>
    </w:rPr>
  </w:style>
  <w:style w:type="character" w:styleId="ListLabel3">
    <w:name w:val="ListLabel 3"/>
    <w:qFormat/>
    <w:rPr>
      <w:rFonts w:eastAsia="Calibri" w:eastAsiaTheme="minorHAnsi"/>
      <w:sz w:val="20"/>
      <w:szCs w:val="20"/>
      <w:lang w:eastAsia="en-US"/>
    </w:rPr>
  </w:style>
  <w:style w:type="character" w:styleId="ListLabel4">
    <w:name w:val="ListLabel 4"/>
    <w:qFormat/>
    <w:rPr>
      <w:rFonts w:eastAsia="Calibri" w:eastAsiaTheme="minorHAnsi"/>
      <w:sz w:val="20"/>
      <w:szCs w:val="20"/>
      <w:lang w:eastAsia="en-US"/>
    </w:rPr>
  </w:style>
  <w:style w:type="character" w:styleId="ListLabel5">
    <w:name w:val="ListLabel 5"/>
    <w:qFormat/>
    <w:rPr>
      <w:rFonts w:eastAsia="Calibri" w:eastAsiaTheme="minorHAnsi"/>
      <w:sz w:val="20"/>
      <w:szCs w:val="20"/>
      <w:lang w:eastAsia="en-US"/>
    </w:rPr>
  </w:style>
  <w:style w:type="character" w:styleId="ListLabel6">
    <w:name w:val="ListLabel 6"/>
    <w:qFormat/>
    <w:rPr>
      <w:rFonts w:eastAsia="Calibri" w:eastAsiaTheme="minorHAnsi"/>
      <w:sz w:val="24"/>
      <w:szCs w:val="24"/>
      <w:lang w:eastAsia="en-US"/>
    </w:rPr>
  </w:style>
  <w:style w:type="character" w:styleId="ListLabel7">
    <w:name w:val="ListLabel 7"/>
    <w:qFormat/>
    <w:rPr>
      <w:rFonts w:eastAsia="Calibri" w:eastAsiaTheme="minorHAnsi"/>
      <w:sz w:val="24"/>
      <w:szCs w:val="24"/>
      <w:lang w:eastAsia="en-US"/>
    </w:rPr>
  </w:style>
  <w:style w:type="character" w:styleId="ListLabel8">
    <w:name w:val="ListLabel 8"/>
    <w:qFormat/>
    <w:rPr>
      <w:rFonts w:eastAsia="Calibri" w:eastAsiaTheme="minorHAnsi"/>
      <w:sz w:val="24"/>
      <w:szCs w:val="24"/>
      <w:lang w:eastAsia="en-US"/>
    </w:rPr>
  </w:style>
  <w:style w:type="character" w:styleId="ListLabel9">
    <w:name w:val="ListLabel 9"/>
    <w:qFormat/>
    <w:rPr>
      <w:rFonts w:eastAsia="Calibri" w:eastAsiaTheme="minorHAnsi"/>
      <w:sz w:val="24"/>
      <w:szCs w:val="24"/>
      <w:lang w:eastAsia="en-US"/>
    </w:rPr>
  </w:style>
  <w:style w:type="character" w:styleId="ListLabel10">
    <w:name w:val="ListLabel 10"/>
    <w:qFormat/>
    <w:rPr>
      <w:rFonts w:eastAsia="Calibri" w:eastAsiaTheme="minorHAnsi"/>
      <w:sz w:val="24"/>
      <w:szCs w:val="24"/>
      <w:lang w:eastAsia="en-US"/>
    </w:rPr>
  </w:style>
  <w:style w:type="character" w:styleId="ListLabel11">
    <w:name w:val="ListLabel 11"/>
    <w:qFormat/>
    <w:rPr>
      <w:rFonts w:eastAsia="Calibri" w:eastAsiaTheme="minorHAnsi"/>
      <w:sz w:val="24"/>
      <w:szCs w:val="24"/>
      <w:lang w:eastAsia="en-US"/>
    </w:rPr>
  </w:style>
  <w:style w:type="character" w:styleId="ListLabel12">
    <w:name w:val="ListLabel 12"/>
    <w:qFormat/>
    <w:rPr>
      <w:rFonts w:eastAsia="Calibri" w:eastAsiaTheme="minorHAnsi"/>
      <w:sz w:val="24"/>
      <w:szCs w:val="24"/>
      <w:lang w:eastAsia="en-US"/>
    </w:rPr>
  </w:style>
  <w:style w:type="character" w:styleId="ListLabel13">
    <w:name w:val="ListLabel 13"/>
    <w:qFormat/>
    <w:rPr>
      <w:rFonts w:eastAsia="Calibri" w:eastAsiaTheme="minorHAnsi"/>
      <w:sz w:val="28"/>
      <w:szCs w:val="28"/>
      <w:lang w:eastAsia="en-US"/>
    </w:rPr>
  </w:style>
  <w:style w:type="character" w:styleId="ListLabel14">
    <w:name w:val="ListLabel 14"/>
    <w:qFormat/>
    <w:rPr>
      <w:rFonts w:eastAsia="Calibri" w:eastAsiaTheme="minorHAnsi"/>
      <w:sz w:val="28"/>
      <w:szCs w:val="28"/>
      <w:lang w:eastAsia="en-US"/>
    </w:rPr>
  </w:style>
  <w:style w:type="character" w:styleId="ListLabel15">
    <w:name w:val="ListLabel 15"/>
    <w:qFormat/>
    <w:rPr>
      <w:rFonts w:eastAsia="Calibri" w:eastAsiaTheme="minorHAnsi"/>
      <w:sz w:val="28"/>
      <w:szCs w:val="28"/>
      <w:lang w:eastAsia="en-US"/>
    </w:rPr>
  </w:style>
  <w:style w:type="character" w:styleId="ListLabel16">
    <w:name w:val="ListLabel 16"/>
    <w:qFormat/>
    <w:rPr>
      <w:rFonts w:eastAsia="Calibri" w:eastAsiaTheme="minorHAnsi"/>
      <w:sz w:val="26"/>
      <w:szCs w:val="26"/>
      <w:lang w:eastAsia="en-US"/>
    </w:rPr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Liberation Sans" w:hAnsi="Liberation Sans" w:eastAsia="WenQuanYi Zen Hei Sharp" w:cs="Lohit Devanagari"/>
      <w:sz w:val="28"/>
      <w:szCs w:val="28"/>
    </w:rPr>
  </w:style>
  <w:style w:type="paragraph" w:styleId="Style20">
    <w:name w:val="Body Text"/>
    <w:basedOn w:val="Normal"/>
    <w:pPr>
      <w:spacing w:lineRule="auto" w:line="276" w:before="0" w:after="140"/>
    </w:pPr>
    <w:rPr/>
  </w:style>
  <w:style w:type="paragraph" w:styleId="Style21">
    <w:name w:val="List"/>
    <w:basedOn w:val="Style20"/>
    <w:pPr/>
    <w:rPr>
      <w:rFonts w:cs="Lohit Devanagari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cs="Lohit Devanagari"/>
    </w:rPr>
  </w:style>
  <w:style w:type="paragraph" w:styleId="Style24">
    <w:name w:val="Title"/>
    <w:basedOn w:val="Normal"/>
    <w:link w:val="a4"/>
    <w:qFormat/>
    <w:rsid w:val="00b813fd"/>
    <w:pPr>
      <w:overflowPunct w:val="true"/>
      <w:spacing w:beforeAutospacing="1" w:afterAutospacing="1"/>
    </w:pPr>
    <w:rPr>
      <w:color w:val="000000"/>
      <w:szCs w:val="24"/>
    </w:rPr>
  </w:style>
  <w:style w:type="paragraph" w:styleId="Style25">
    <w:name w:val="Body Text Indent"/>
    <w:basedOn w:val="Normal"/>
    <w:link w:val="a6"/>
    <w:unhideWhenUsed/>
    <w:rsid w:val="00b813fd"/>
    <w:pPr>
      <w:overflowPunct w:val="true"/>
      <w:spacing w:beforeAutospacing="1" w:afterAutospacing="1"/>
    </w:pPr>
    <w:rPr>
      <w:color w:val="000000"/>
      <w:szCs w:val="24"/>
    </w:rPr>
  </w:style>
  <w:style w:type="paragraph" w:styleId="BodyTextIndent2">
    <w:name w:val="Body Text Indent 2"/>
    <w:basedOn w:val="Normal"/>
    <w:link w:val="20"/>
    <w:semiHidden/>
    <w:unhideWhenUsed/>
    <w:qFormat/>
    <w:rsid w:val="00b813fd"/>
    <w:pPr>
      <w:overflowPunct w:val="true"/>
      <w:spacing w:beforeAutospacing="1" w:afterAutospacing="1"/>
    </w:pPr>
    <w:rPr>
      <w:color w:val="000000"/>
      <w:szCs w:val="24"/>
    </w:rPr>
  </w:style>
  <w:style w:type="paragraph" w:styleId="Style41" w:customStyle="1">
    <w:name w:val="Style4"/>
    <w:basedOn w:val="Normal"/>
    <w:uiPriority w:val="99"/>
    <w:qFormat/>
    <w:rsid w:val="00b813fd"/>
    <w:pPr>
      <w:widowControl w:val="false"/>
      <w:overflowPunct w:val="true"/>
      <w:spacing w:lineRule="exact" w:line="322"/>
      <w:ind w:firstLine="710"/>
      <w:jc w:val="both"/>
    </w:pPr>
    <w:rPr>
      <w:szCs w:val="24"/>
    </w:rPr>
  </w:style>
  <w:style w:type="paragraph" w:styleId="ConsPlusNormal1" w:customStyle="1">
    <w:name w:val="ConsPlusNormal"/>
    <w:link w:val="ConsPlusNormal"/>
    <w:qFormat/>
    <w:rsid w:val="00b813fd"/>
    <w:pPr>
      <w:widowControl w:val="false"/>
      <w:bidi w:val="0"/>
      <w:spacing w:lineRule="auto" w:line="240"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val="ru-RU" w:eastAsia="ru-RU" w:bidi="ar-SA"/>
    </w:rPr>
  </w:style>
  <w:style w:type="paragraph" w:styleId="ConsPlusCell" w:customStyle="1">
    <w:name w:val="ConsPlusCell"/>
    <w:qFormat/>
    <w:rsid w:val="00e307b9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NormalWeb">
    <w:name w:val="Normal (Web)"/>
    <w:basedOn w:val="Normal"/>
    <w:link w:val="a9"/>
    <w:qFormat/>
    <w:rsid w:val="001f51d2"/>
    <w:pPr>
      <w:overflowPunct w:val="true"/>
      <w:spacing w:beforeAutospacing="1" w:after="119"/>
    </w:pPr>
    <w:rPr>
      <w:szCs w:val="24"/>
    </w:rPr>
  </w:style>
  <w:style w:type="paragraph" w:styleId="ListParagraph">
    <w:name w:val="List Paragraph"/>
    <w:basedOn w:val="Normal"/>
    <w:uiPriority w:val="34"/>
    <w:qFormat/>
    <w:rsid w:val="00e27aaf"/>
    <w:pPr>
      <w:spacing w:before="0" w:after="0"/>
      <w:ind w:left="720" w:hanging="0"/>
      <w:contextualSpacing/>
    </w:pPr>
    <w:rPr/>
  </w:style>
  <w:style w:type="paragraph" w:styleId="Style26">
    <w:name w:val="Содержимое таблицы"/>
    <w:basedOn w:val="Normal"/>
    <w:qFormat/>
    <w:pPr>
      <w:widowControl w:val="false"/>
      <w:suppressLineNumbers/>
      <w:suppressAutoHyphens w:val="true"/>
    </w:pPr>
    <w:rPr>
      <w:rFonts w:eastAsia="Droid Sans Fallback" w:cs="Lohit Hindi"/>
      <w:kern w:val="2"/>
      <w:lang w:eastAsia="zh-CN" w:bidi="hi-IN"/>
    </w:rPr>
  </w:style>
  <w:style w:type="paragraph" w:styleId="Style27">
    <w:name w:val="Заголовок таблицы"/>
    <w:basedOn w:val="Style26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B415D04ED68CF67590554F40532BD9EE2C52C73CCE71660D3735A9DD06DAB77E1265C8EB7AB5BEC0wFwFM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151BD6-38C7-4C04-BF03-51109C7D86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Application>LibreOffice/6.0.6.1$Linux_X86_64 LibreOffice_project/00$Build-1</Application>
  <Pages>3</Pages>
  <Words>510</Words>
  <Characters>3792</Characters>
  <CharactersWithSpaces>4336</CharactersWithSpaces>
  <Paragraphs>65</Paragraphs>
  <Company>Комитет по управлению имуществом Курской области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2019-01-28T11:09:00Z</dcterms:created>
  <dc:creator>ZAK13</dc:creator>
  <dc:description/>
  <dc:language>ru-RU</dc:language>
  <cp:lastModifiedBy/>
  <cp:lastPrinted>2019-10-30T15:17:36Z</cp:lastPrinted>
  <dcterms:modified xsi:type="dcterms:W3CDTF">2019-12-26T16:21:55Z</dcterms:modified>
  <cp:revision>68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 по 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