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>
          <w:b/>
          <w:bCs/>
          <w:sz w:val="28"/>
          <w:szCs w:val="28"/>
        </w:rPr>
        <w:t xml:space="preserve">Протокол № </w:t>
      </w:r>
      <w:r>
        <w:rPr>
          <w:b/>
          <w:bCs/>
          <w:sz w:val="28"/>
          <w:szCs w:val="28"/>
        </w:rPr>
        <w:t>35</w:t>
      </w:r>
    </w:p>
    <w:p>
      <w:pPr>
        <w:pStyle w:val="Normal"/>
        <w:jc w:val="center"/>
        <w:rPr/>
      </w:pPr>
      <w:r>
        <w:rPr>
          <w:rFonts w:eastAsia="Calibri" w:eastAsiaTheme="minorHAnsi"/>
          <w:b/>
          <w:bCs/>
          <w:sz w:val="28"/>
          <w:szCs w:val="28"/>
          <w:lang w:eastAsia="en-US"/>
        </w:rPr>
        <w:t>рассмотрения единственной заявки</w:t>
      </w:r>
      <w:r>
        <w:rPr>
          <w:b/>
          <w:bCs/>
          <w:sz w:val="28"/>
          <w:szCs w:val="28"/>
        </w:rPr>
        <w:t xml:space="preserve"> на участие в аукционе в электронной форме </w:t>
      </w:r>
      <w:r>
        <w:rPr>
          <w:rFonts w:eastAsia="Calibri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b/>
          <w:bCs/>
          <w:sz w:val="28"/>
          <w:szCs w:val="28"/>
        </w:rPr>
        <w:t>на право заключения контракта с комитетом здравоохранения Курской области на поставку лекарственных препаратов</w:t>
      </w:r>
    </w:p>
    <w:p>
      <w:pPr>
        <w:pStyle w:val="Normal"/>
        <w:jc w:val="center"/>
        <w:rPr/>
      </w:pPr>
      <w:r>
        <w:rPr>
          <w:b/>
          <w:bCs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(МНН Инсулин Лизпро двухфазный)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jc w:val="center"/>
        <w:rPr/>
      </w:pPr>
      <w:r>
        <w:rPr>
          <w:rFonts w:eastAsia="Calibri" w:cs="Times New Roman"/>
          <w:b/>
          <w:bCs/>
          <w:color w:val="000000"/>
          <w:sz w:val="28"/>
          <w:szCs w:val="28"/>
          <w:lang w:val="en-US" w:eastAsia="ru-RU"/>
        </w:rPr>
        <w:t>(</w:t>
      </w:r>
      <w:r>
        <w:rPr>
          <w:rFonts w:eastAsia="Calibri" w:cs="Times New Roman"/>
          <w:b/>
          <w:bCs/>
          <w:color w:val="000000"/>
          <w:sz w:val="28"/>
          <w:szCs w:val="28"/>
          <w:lang w:eastAsia="ru-RU"/>
        </w:rPr>
        <w:t>Регистрационный</w:t>
      </w:r>
      <w:r>
        <w:rPr>
          <w:rFonts w:eastAsia="Calibri" w:cs="Times New Roman"/>
          <w:b/>
          <w:bCs/>
          <w:color w:val="000000"/>
          <w:sz w:val="28"/>
          <w:szCs w:val="28"/>
          <w:lang w:val="en-US" w:eastAsia="ru-RU"/>
        </w:rPr>
        <w:t xml:space="preserve"> </w:t>
      </w:r>
      <w:r>
        <w:rPr>
          <w:rFonts w:eastAsia="Calibri" w:cs="Times New Roman"/>
          <w:b/>
          <w:bCs/>
          <w:color w:val="000000"/>
          <w:sz w:val="28"/>
          <w:szCs w:val="28"/>
          <w:lang w:eastAsia="ru-RU"/>
        </w:rPr>
        <w:t>номер</w:t>
      </w:r>
      <w:r>
        <w:rPr>
          <w:rFonts w:eastAsia="Calibri" w:cs="Times New Roman"/>
          <w:b/>
          <w:bCs/>
          <w:color w:val="000000"/>
          <w:sz w:val="28"/>
          <w:szCs w:val="28"/>
          <w:lang w:val="en-US" w:eastAsia="ru-RU"/>
        </w:rPr>
        <w:t xml:space="preserve"> 09-05/15968)</w:t>
      </w:r>
    </w:p>
    <w:p>
      <w:pPr>
        <w:pStyle w:val="Normal"/>
        <w:jc w:val="center"/>
        <w:rPr/>
      </w:pPr>
      <w:r>
        <w:rPr>
          <w:b/>
          <w:sz w:val="28"/>
          <w:szCs w:val="28"/>
        </w:rPr>
        <w:t xml:space="preserve">ИКЗ:  </w:t>
      </w:r>
      <w:r>
        <w:rPr>
          <w:b/>
          <w:bCs/>
          <w:i/>
          <w:color w:val="000000"/>
          <w:sz w:val="28"/>
          <w:szCs w:val="28"/>
        </w:rPr>
        <w:t>192462904003746320100100710092120323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г. Курск, ул. Марата, 9                                                 « </w:t>
      </w:r>
      <w:r>
        <w:rPr>
          <w:sz w:val="28"/>
          <w:szCs w:val="28"/>
        </w:rPr>
        <w:t xml:space="preserve">15 </w:t>
      </w:r>
      <w:r>
        <w:rPr>
          <w:sz w:val="28"/>
          <w:szCs w:val="28"/>
        </w:rPr>
        <w:t>»  января  2020год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color w:val="auto"/>
        </w:rPr>
      </w:pPr>
      <w:r>
        <w:rPr>
          <w:sz w:val="28"/>
          <w:szCs w:val="28"/>
        </w:rPr>
        <w:t>На заседании аукционной комиссии присутствовали: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9043" w:type="dxa"/>
        <w:jc w:val="left"/>
        <w:tblInd w:w="289" w:type="dxa"/>
        <w:tblBorders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2654"/>
        <w:gridCol w:w="6388"/>
      </w:tblGrid>
      <w:tr>
        <w:trPr>
          <w:trHeight w:val="1095" w:hRule="atLeast"/>
        </w:trPr>
        <w:tc>
          <w:tcPr>
            <w:tcW w:w="2654" w:type="dxa"/>
            <w:tcBorders/>
            <w:shd w:fill="auto" w:val="clear"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Давыдова 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Анна Викторовна</w:t>
            </w:r>
          </w:p>
        </w:tc>
        <w:tc>
          <w:tcPr>
            <w:tcW w:w="6388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1407" w:hRule="atLeast"/>
        </w:trPr>
        <w:tc>
          <w:tcPr>
            <w:tcW w:w="2654" w:type="dxa"/>
            <w:tcBorders/>
            <w:shd w:fill="auto" w:val="clear"/>
          </w:tcPr>
          <w:p>
            <w:pPr>
              <w:pStyle w:val="Normal"/>
              <w:jc w:val="both"/>
              <w:rPr>
                <w:i w:val="false"/>
                <w:i w:val="false"/>
                <w:iCs w:val="false"/>
              </w:rPr>
            </w:pPr>
            <w:r>
              <w:rPr>
                <w:sz w:val="28"/>
                <w:szCs w:val="28"/>
              </w:rPr>
              <w:t>Кулагин Кирилл Олегович</w:t>
            </w:r>
          </w:p>
        </w:tc>
        <w:tc>
          <w:tcPr>
            <w:tcW w:w="6388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1305" w:hRule="atLeast"/>
        </w:trPr>
        <w:tc>
          <w:tcPr>
            <w:tcW w:w="2654" w:type="dxa"/>
            <w:tcBorders/>
            <w:shd w:fill="auto" w:val="clear"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Пронская              Светлана Александровна</w:t>
            </w:r>
          </w:p>
        </w:tc>
        <w:tc>
          <w:tcPr>
            <w:tcW w:w="6388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787" w:hRule="atLeast"/>
        </w:trPr>
        <w:tc>
          <w:tcPr>
            <w:tcW w:w="2654" w:type="dxa"/>
            <w:tcBorders/>
            <w:shd w:fill="auto" w:val="clear"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Молошников Валентин Сергеевич</w:t>
            </w:r>
          </w:p>
        </w:tc>
        <w:tc>
          <w:tcPr>
            <w:tcW w:w="6388" w:type="dxa"/>
            <w:tcBorders/>
            <w:shd w:fill="auto" w:val="clear"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 xml:space="preserve">начальник отдела ОКУ ''ЦБ при комитете здравоохранения Курской области'' </w:t>
            </w:r>
          </w:p>
        </w:tc>
      </w:tr>
      <w:tr>
        <w:trPr>
          <w:trHeight w:val="665" w:hRule="atLeast"/>
        </w:trPr>
        <w:tc>
          <w:tcPr>
            <w:tcW w:w="2654" w:type="dxa"/>
            <w:tcBorders/>
            <w:shd w:fill="auto" w:val="clear"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Чеверда Екатерина Александровна</w:t>
            </w:r>
          </w:p>
        </w:tc>
        <w:tc>
          <w:tcPr>
            <w:tcW w:w="6388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 xml:space="preserve">эксперт отдела организации лекарственного обеспечения комитета здравоохранения Курской области 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692" w:hRule="atLeast"/>
        </w:trPr>
        <w:tc>
          <w:tcPr>
            <w:tcW w:w="2654" w:type="dxa"/>
            <w:tcBorders/>
            <w:shd w:fill="auto" w:val="clear"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Кабдина Нелли Станиславовна</w:t>
            </w:r>
          </w:p>
        </w:tc>
        <w:tc>
          <w:tcPr>
            <w:tcW w:w="6388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 xml:space="preserve">консультант отдела лекарственного обеспечения комитета здравоохранения Курской области 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>
          <w:sz w:val="28"/>
          <w:szCs w:val="28"/>
        </w:rPr>
        <w:t xml:space="preserve">На заседании аукционной комиссии присутствовали 6 членов комиссии. </w:t>
      </w:r>
    </w:p>
    <w:p>
      <w:pPr>
        <w:pStyle w:val="Normal"/>
        <w:rPr>
          <w:sz w:val="24"/>
          <w:szCs w:val="24"/>
        </w:rPr>
      </w:pPr>
      <w:r>
        <w:rPr>
          <w:sz w:val="28"/>
          <w:szCs w:val="28"/>
        </w:rPr>
        <w:t>Комиссия правомочна принимать решения.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>
          <w:bCs/>
          <w:sz w:val="28"/>
          <w:szCs w:val="28"/>
        </w:rPr>
        <w:t>Наименование объекта закупки:</w:t>
      </w:r>
    </w:p>
    <w:p>
      <w:pPr>
        <w:pStyle w:val="Normal"/>
        <w:keepNext w:val="true"/>
        <w:keepLines/>
        <w:widowControl w:val="false"/>
        <w:rPr/>
      </w:pPr>
      <w:r>
        <w:rPr>
          <w:b/>
          <w:bCs/>
          <w:color w:val="000000"/>
          <w:sz w:val="28"/>
          <w:szCs w:val="28"/>
        </w:rPr>
        <w:t xml:space="preserve">поставка лекарственных препаратов </w:t>
      </w:r>
      <w:bookmarkStart w:id="0" w:name="__DdeLink__4475_3023540056"/>
      <w:r>
        <w:rPr>
          <w:b/>
          <w:bCs/>
          <w:color w:val="000000"/>
          <w:sz w:val="28"/>
          <w:szCs w:val="28"/>
        </w:rPr>
        <w:t>(МНН Инсулин Лизпро двухфазный)</w:t>
      </w:r>
      <w:bookmarkEnd w:id="0"/>
    </w:p>
    <w:p>
      <w:pPr>
        <w:pStyle w:val="Normal"/>
        <w:rPr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Normal"/>
        <w:rPr/>
      </w:pPr>
      <w:r>
        <w:rPr>
          <w:sz w:val="28"/>
          <w:szCs w:val="28"/>
        </w:rPr>
        <w:t>Начальная (максимальная) цена контракта: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4 391 925,30 рублей</w:t>
      </w:r>
    </w:p>
    <w:p>
      <w:pPr>
        <w:pStyle w:val="Normal"/>
        <w:rPr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Normal"/>
        <w:jc w:val="both"/>
        <w:rPr/>
      </w:pPr>
      <w:r>
        <w:rPr>
          <w:rStyle w:val="FontStyle13"/>
          <w:sz w:val="28"/>
          <w:szCs w:val="28"/>
        </w:rPr>
        <w:tab/>
        <w:t>На участие в аукционе в электронной форме оператором электронной площадки была представлена 1 заявка, имеющая идентификационный номер</w:t>
      </w:r>
      <w:bookmarkStart w:id="1" w:name="__DdeLink__3593_2636603536"/>
      <w:bookmarkEnd w:id="1"/>
      <w:r>
        <w:rPr>
          <w:rStyle w:val="FontStyle13"/>
          <w:sz w:val="28"/>
          <w:szCs w:val="28"/>
        </w:rPr>
        <w:t xml:space="preserve">- </w:t>
      </w:r>
      <w:bookmarkStart w:id="2" w:name="__DdeLink__3593_26366035363"/>
      <w:r>
        <w:rPr>
          <w:rStyle w:val="FontStyle13"/>
          <w:sz w:val="28"/>
          <w:szCs w:val="28"/>
        </w:rPr>
        <w:t>Е</w:t>
      </w:r>
      <w:bookmarkEnd w:id="2"/>
      <w:r>
        <w:rPr>
          <w:rStyle w:val="FontStyle13"/>
          <w:sz w:val="28"/>
          <w:szCs w:val="28"/>
        </w:rPr>
        <w:t>А-39347</w:t>
      </w:r>
      <w:r>
        <w:rPr>
          <w:rStyle w:val="FontStyle13"/>
          <w:color w:val="000000"/>
          <w:sz w:val="28"/>
          <w:szCs w:val="28"/>
        </w:rPr>
        <w:t>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ab/>
        <w:t>Аукционная комиссия рассмотрела единственную заявку участника закупки и документы этой заявки на предмет соответствия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Членами аукционной комиссии  принято решение:</w:t>
      </w:r>
    </w:p>
    <w:tbl>
      <w:tblPr>
        <w:tblStyle w:val="af"/>
        <w:tblW w:w="9580" w:type="dxa"/>
        <w:jc w:val="left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0" w:type="dxa"/>
          <w:left w:w="95" w:type="dxa"/>
          <w:bottom w:w="0" w:type="dxa"/>
          <w:right w:w="108" w:type="dxa"/>
        </w:tblCellMar>
        <w:tblLook w:val="04a0"/>
      </w:tblPr>
      <w:tblGrid>
        <w:gridCol w:w="4783"/>
        <w:gridCol w:w="4796"/>
      </w:tblGrid>
      <w:tr>
        <w:trPr/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комиссии</w:t>
            </w:r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8"/>
                <w:szCs w:val="28"/>
              </w:rPr>
              <w:t xml:space="preserve">Решение по Заявке № </w:t>
            </w:r>
            <w:bookmarkStart w:id="3" w:name="__DdeLink__3593_26366035362"/>
            <w:r>
              <w:rPr>
                <w:rStyle w:val="FontStyle13"/>
                <w:sz w:val="28"/>
                <w:szCs w:val="28"/>
              </w:rPr>
              <w:t>Е</w:t>
            </w:r>
            <w:bookmarkEnd w:id="3"/>
            <w:r>
              <w:rPr>
                <w:rStyle w:val="FontStyle13"/>
                <w:sz w:val="28"/>
                <w:szCs w:val="28"/>
              </w:rPr>
              <w:t>А-39347</w:t>
            </w:r>
          </w:p>
        </w:tc>
      </w:tr>
      <w:tr>
        <w:trPr/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А.В. Давыдова </w:t>
            </w:r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Соответствует требованиям</w:t>
            </w:r>
          </w:p>
        </w:tc>
      </w:tr>
      <w:tr>
        <w:trPr/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К.О. Кулагин </w:t>
            </w:r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Соответствует требованиям</w:t>
            </w:r>
          </w:p>
        </w:tc>
      </w:tr>
      <w:tr>
        <w:trPr/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С.А. Пронская</w:t>
            </w:r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Соответствует требованиям</w:t>
            </w:r>
          </w:p>
        </w:tc>
      </w:tr>
      <w:tr>
        <w:trPr/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 xml:space="preserve">В.С. Молошников </w:t>
            </w:r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Соответствует требованиям</w:t>
            </w:r>
          </w:p>
        </w:tc>
      </w:tr>
      <w:tr>
        <w:trPr/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 xml:space="preserve">Е.А. Чеверда </w:t>
            </w:r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Соответствует требованиям</w:t>
            </w:r>
          </w:p>
        </w:tc>
      </w:tr>
      <w:tr>
        <w:trPr/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 xml:space="preserve">Н.С. Кабдина </w:t>
            </w:r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Соответствует требованиям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rFonts w:eastAsia="Calibri" w:eastAsiaTheme="minorHAnsi"/>
          <w:sz w:val="28"/>
          <w:szCs w:val="28"/>
          <w:lang w:eastAsia="en-US"/>
        </w:rPr>
        <w:tab/>
        <w:t xml:space="preserve">1. Участник аукциона –ООО «Торговая компания «Основа»» подавший единственную заявку на участие в аукционе в электронной форме </w:t>
      </w:r>
      <w:r>
        <w:rPr>
          <w:rFonts w:eastAsia="Calibri" w:cs="Times New Roman"/>
          <w:b w:val="false"/>
          <w:bCs w:val="false"/>
          <w:color w:val="000000"/>
          <w:sz w:val="28"/>
          <w:szCs w:val="28"/>
          <w:lang w:eastAsia="ru-RU"/>
        </w:rPr>
        <w:t>на право заключения контракта с комитетом здравоохранения Курской области на поставку лекарственных препаратов (МНН Инсулин Лизпро двухфазный)</w:t>
      </w:r>
      <w:r>
        <w:rPr>
          <w:b w:val="false"/>
          <w:bCs w:val="false"/>
          <w:sz w:val="28"/>
          <w:szCs w:val="28"/>
        </w:rPr>
        <w:t xml:space="preserve"> </w:t>
      </w:r>
      <w:r>
        <w:rPr>
          <w:rFonts w:eastAsia="Calibri" w:eastAsiaTheme="minorHAnsi"/>
          <w:b w:val="false"/>
          <w:bCs w:val="false"/>
          <w:sz w:val="28"/>
          <w:szCs w:val="28"/>
          <w:lang w:eastAsia="en-US"/>
        </w:rPr>
        <w:t xml:space="preserve">и поданная им заявка соответствует требованиям </w:t>
      </w:r>
      <w:r>
        <w:rPr>
          <w:b w:val="false"/>
          <w:bCs w:val="false"/>
          <w:sz w:val="28"/>
          <w:szCs w:val="28"/>
        </w:rPr>
        <w:t>Федерального закона от</w:t>
      </w:r>
      <w:r>
        <w:rPr>
          <w:sz w:val="28"/>
          <w:szCs w:val="28"/>
        </w:rPr>
        <w:t xml:space="preserve">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tbl>
      <w:tblPr>
        <w:tblW w:w="9014" w:type="dxa"/>
        <w:jc w:val="left"/>
        <w:tblInd w:w="3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90"/>
        <w:gridCol w:w="6923"/>
      </w:tblGrid>
      <w:tr>
        <w:trPr>
          <w:trHeight w:val="1144" w:hRule="atLeast"/>
        </w:trPr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rStyle w:val="FontStyle13"/>
                <w:sz w:val="28"/>
                <w:szCs w:val="28"/>
              </w:rPr>
              <w:t>Идентификационный номер заявки</w:t>
            </w:r>
          </w:p>
        </w:tc>
        <w:tc>
          <w:tcPr>
            <w:tcW w:w="6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rFonts w:eastAsia="Calibri" w:eastAsiaTheme="minorHAnsi"/>
                <w:sz w:val="28"/>
                <w:szCs w:val="28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Style w:val="ListLabel1"/>
                  <w:rFonts w:eastAsia="Calibri" w:eastAsiaTheme="minorHAnsi"/>
                  <w:sz w:val="28"/>
                  <w:szCs w:val="28"/>
                  <w:lang w:eastAsia="en-US"/>
                </w:rPr>
                <w:t>ст. 14</w:t>
              </w:r>
            </w:hyperlink>
            <w:r>
              <w:rPr>
                <w:rFonts w:eastAsia="Calibri" w:eastAsiaTheme="minorHAnsi"/>
                <w:sz w:val="28"/>
                <w:szCs w:val="28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>
          <w:trHeight w:val="465" w:hRule="atLeast"/>
        </w:trPr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/>
            </w:pPr>
            <w:bookmarkStart w:id="4" w:name="__DdeLink__3593_26366035361"/>
            <w:r>
              <w:rPr>
                <w:rStyle w:val="FontStyle13"/>
                <w:sz w:val="28"/>
                <w:szCs w:val="28"/>
              </w:rPr>
              <w:t>Е</w:t>
            </w:r>
            <w:bookmarkEnd w:id="4"/>
            <w:r>
              <w:rPr>
                <w:rStyle w:val="FontStyle13"/>
                <w:sz w:val="28"/>
                <w:szCs w:val="28"/>
              </w:rPr>
              <w:t>А-39347</w:t>
            </w:r>
          </w:p>
        </w:tc>
        <w:tc>
          <w:tcPr>
            <w:tcW w:w="6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Style w:val="FontStyle13"/>
                <w:sz w:val="28"/>
                <w:szCs w:val="28"/>
              </w:rPr>
              <w:t>Не содержит</w:t>
            </w:r>
          </w:p>
        </w:tc>
      </w:tr>
    </w:tbl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2. В связи с тем, что по окончанию срока подачи заявок на участие в </w:t>
      </w:r>
      <w:r>
        <w:rPr>
          <w:rStyle w:val="FontStyle13"/>
          <w:sz w:val="28"/>
          <w:szCs w:val="28"/>
        </w:rPr>
        <w:t xml:space="preserve">аукционе </w:t>
      </w:r>
      <w:r>
        <w:rPr>
          <w:sz w:val="28"/>
          <w:szCs w:val="28"/>
        </w:rPr>
        <w:t xml:space="preserve">в электронной форме подана только одна заявка, аукцион в электронной форме </w:t>
      </w:r>
      <w:r>
        <w:rPr>
          <w:rFonts w:eastAsia="Calibri" w:cs="Times New Roman"/>
          <w:b w:val="false"/>
          <w:bCs w:val="false"/>
          <w:color w:val="000000"/>
          <w:sz w:val="28"/>
          <w:szCs w:val="28"/>
          <w:lang w:val="en-US" w:eastAsia="ru-RU"/>
        </w:rPr>
        <w:t>на право заключения контракта с комитетом здравоохранения Курской области на поставку лекарственных препаратов (МНН Инсулин Лизпро двухфазный)</w:t>
      </w:r>
      <w:r>
        <w:rPr>
          <w:sz w:val="28"/>
          <w:szCs w:val="28"/>
        </w:rPr>
        <w:t xml:space="preserve">, </w:t>
      </w:r>
      <w:r>
        <w:rPr>
          <w:b/>
          <w:sz w:val="28"/>
          <w:szCs w:val="28"/>
        </w:rPr>
        <w:t>признается несостоявшимся.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Cs w:val="24"/>
        </w:rPr>
      </w:pPr>
      <w:r>
        <w:rPr>
          <w:sz w:val="28"/>
          <w:szCs w:val="28"/>
        </w:rPr>
        <w:tab/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8780" w:type="dxa"/>
        <w:jc w:val="left"/>
        <w:tblInd w:w="0" w:type="dxa"/>
        <w:tblBorders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4936"/>
        <w:gridCol w:w="1060"/>
        <w:gridCol w:w="2784"/>
      </w:tblGrid>
      <w:tr>
        <w:trPr>
          <w:trHeight w:val="746" w:hRule="atLeast"/>
        </w:trPr>
        <w:tc>
          <w:tcPr>
            <w:tcW w:w="4936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Председатель  комиссии:</w:t>
            </w:r>
          </w:p>
        </w:tc>
        <w:tc>
          <w:tcPr>
            <w:tcW w:w="1060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784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 xml:space="preserve">А.В. Давыдова 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559" w:hRule="atLeast"/>
        </w:trPr>
        <w:tc>
          <w:tcPr>
            <w:tcW w:w="4936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Зам. председателя комиссии:</w:t>
            </w:r>
          </w:p>
        </w:tc>
        <w:tc>
          <w:tcPr>
            <w:tcW w:w="1060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784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К.О. Кулагин 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779" w:hRule="atLeast"/>
        </w:trPr>
        <w:tc>
          <w:tcPr>
            <w:tcW w:w="4936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Секретарь комиссии:</w:t>
            </w:r>
          </w:p>
        </w:tc>
        <w:tc>
          <w:tcPr>
            <w:tcW w:w="1060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784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С.А. Пронская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716" w:hRule="atLeast"/>
        </w:trPr>
        <w:tc>
          <w:tcPr>
            <w:tcW w:w="4936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060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784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 xml:space="preserve">В.С. Молошников 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557" w:hRule="atLeast"/>
        </w:trPr>
        <w:tc>
          <w:tcPr>
            <w:tcW w:w="4936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060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784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 xml:space="preserve">Е.А. Чеверда 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557" w:hRule="atLeast"/>
        </w:trPr>
        <w:tc>
          <w:tcPr>
            <w:tcW w:w="4936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060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784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 xml:space="preserve">Н.С. Кабдина 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701" w:right="513" w:header="0" w:top="1134" w:footer="0" w:bottom="568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75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0" w:semiHidden="0" w:unhideWhenUsed="0" w:qFormat="1"/>
    <w:lsdException w:name="Default Paragraph Font" w:uiPriority="1"/>
    <w:lsdException w:name="Body Text Indent" w:uiPriority="0"/>
    <w:lsdException w:name="Subtitle" w:uiPriority="11" w:semiHidden="0" w:unhideWhenUsed="0" w:qFormat="1"/>
    <w:lsdException w:name="Body Text Indent 2" w:uiPriority="0"/>
    <w:lsdException w:name="Strong" w:uiPriority="22" w:semiHidden="0" w:unhideWhenUsed="0" w:qFormat="1"/>
    <w:lsdException w:name="Emphasis" w:uiPriority="0" w:semiHidden="0" w:unhideWhenUsed="0" w:qFormat="1"/>
    <w:lsdException w:name="Normal (Web)" w:uiPriority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813fd"/>
    <w:pPr>
      <w:widowControl/>
      <w:overflowPunct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Название Знак"/>
    <w:basedOn w:val="DefaultParagraphFont"/>
    <w:link w:val="a3"/>
    <w:qFormat/>
    <w:rsid w:val="00b813fd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Style15" w:customStyle="1">
    <w:name w:val="Основной текст с отступом Знак"/>
    <w:basedOn w:val="DefaultParagraphFont"/>
    <w:link w:val="a5"/>
    <w:qFormat/>
    <w:rsid w:val="00b813fd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 w:customStyle="1">
    <w:name w:val="Основной текст с отступом 2 Знак"/>
    <w:basedOn w:val="DefaultParagraphFont"/>
    <w:link w:val="2"/>
    <w:semiHidden/>
    <w:qFormat/>
    <w:rsid w:val="00b813fd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ConsPlusNormal" w:customStyle="1">
    <w:name w:val="ConsPlusNormal Знак"/>
    <w:link w:val="ConsPlusNormal0"/>
    <w:qFormat/>
    <w:locked/>
    <w:rsid w:val="00b813fd"/>
    <w:rPr>
      <w:rFonts w:ascii="Arial" w:hAnsi="Arial" w:eastAsia="Times New Roman" w:cs="Arial"/>
      <w:sz w:val="20"/>
      <w:szCs w:val="20"/>
      <w:lang w:eastAsia="ru-RU"/>
    </w:rPr>
  </w:style>
  <w:style w:type="character" w:styleId="FontStyle13" w:customStyle="1">
    <w:name w:val="Font Style13"/>
    <w:basedOn w:val="DefaultParagraphFont"/>
    <w:uiPriority w:val="99"/>
    <w:qFormat/>
    <w:rsid w:val="00b813fd"/>
    <w:rPr>
      <w:rFonts w:ascii="Times New Roman" w:hAnsi="Times New Roman" w:cs="Times New Roman"/>
      <w:sz w:val="26"/>
      <w:szCs w:val="26"/>
    </w:rPr>
  </w:style>
  <w:style w:type="character" w:styleId="Style16">
    <w:name w:val="Выделение"/>
    <w:qFormat/>
    <w:rsid w:val="006777c7"/>
    <w:rPr>
      <w:i/>
      <w:iCs/>
    </w:rPr>
  </w:style>
  <w:style w:type="character" w:styleId="FontStyle12" w:customStyle="1">
    <w:name w:val="Font Style12"/>
    <w:basedOn w:val="DefaultParagraphFont"/>
    <w:uiPriority w:val="99"/>
    <w:qFormat/>
    <w:rsid w:val="00356799"/>
    <w:rPr>
      <w:rFonts w:ascii="Times New Roman" w:hAnsi="Times New Roman" w:cs="Times New Roman"/>
      <w:b/>
      <w:bCs/>
      <w:sz w:val="26"/>
      <w:szCs w:val="26"/>
    </w:rPr>
  </w:style>
  <w:style w:type="character" w:styleId="Style17" w:customStyle="1">
    <w:name w:val="Обычный (веб) Знак"/>
    <w:link w:val="a8"/>
    <w:qFormat/>
    <w:locked/>
    <w:rsid w:val="001f51d2"/>
    <w:rPr>
      <w:rFonts w:ascii="Times New Roman" w:hAnsi="Times New Roman" w:eastAsia="Times New Roman" w:cs="Times New Roman"/>
      <w:sz w:val="24"/>
      <w:szCs w:val="24"/>
    </w:rPr>
  </w:style>
  <w:style w:type="character" w:styleId="ListLabel1">
    <w:name w:val="ListLabel 1"/>
    <w:qFormat/>
    <w:rPr>
      <w:rFonts w:eastAsia="Calibri" w:eastAsiaTheme="minorHAnsi"/>
      <w:lang w:eastAsia="en-US"/>
    </w:rPr>
  </w:style>
  <w:style w:type="character" w:styleId="Style18">
    <w:name w:val="Интернет-ссылка"/>
    <w:rPr>
      <w:color w:val="000080"/>
      <w:u w:val="single"/>
      <w:lang w:val="zxx" w:eastAsia="zxx" w:bidi="zxx"/>
    </w:rPr>
  </w:style>
  <w:style w:type="character" w:styleId="ListLabel2">
    <w:name w:val="ListLabel 2"/>
    <w:qFormat/>
    <w:rPr>
      <w:rFonts w:eastAsia="Calibri" w:eastAsiaTheme="minorHAnsi"/>
      <w:sz w:val="20"/>
      <w:szCs w:val="20"/>
      <w:lang w:eastAsia="en-US"/>
    </w:rPr>
  </w:style>
  <w:style w:type="character" w:styleId="ListLabel3">
    <w:name w:val="ListLabel 3"/>
    <w:qFormat/>
    <w:rPr>
      <w:rFonts w:eastAsia="Calibri" w:eastAsiaTheme="minorHAnsi"/>
      <w:sz w:val="20"/>
      <w:szCs w:val="20"/>
      <w:lang w:eastAsia="en-US"/>
    </w:rPr>
  </w:style>
  <w:style w:type="character" w:styleId="ListLabel4">
    <w:name w:val="ListLabel 4"/>
    <w:qFormat/>
    <w:rPr>
      <w:rFonts w:eastAsia="Calibri" w:eastAsiaTheme="minorHAnsi"/>
      <w:sz w:val="20"/>
      <w:szCs w:val="20"/>
      <w:lang w:eastAsia="en-US"/>
    </w:rPr>
  </w:style>
  <w:style w:type="character" w:styleId="ListLabel5">
    <w:name w:val="ListLabel 5"/>
    <w:qFormat/>
    <w:rPr>
      <w:rFonts w:eastAsia="Calibri" w:eastAsiaTheme="minorHAnsi"/>
      <w:sz w:val="20"/>
      <w:szCs w:val="20"/>
      <w:lang w:eastAsia="en-US"/>
    </w:rPr>
  </w:style>
  <w:style w:type="character" w:styleId="ListLabel6">
    <w:name w:val="ListLabel 6"/>
    <w:qFormat/>
    <w:rPr>
      <w:rFonts w:eastAsia="Calibri" w:eastAsiaTheme="minorHAnsi"/>
      <w:sz w:val="24"/>
      <w:szCs w:val="24"/>
      <w:lang w:eastAsia="en-US"/>
    </w:rPr>
  </w:style>
  <w:style w:type="character" w:styleId="ListLabel7">
    <w:name w:val="ListLabel 7"/>
    <w:qFormat/>
    <w:rPr>
      <w:rFonts w:eastAsia="Calibri" w:eastAsiaTheme="minorHAnsi"/>
      <w:sz w:val="24"/>
      <w:szCs w:val="24"/>
      <w:lang w:eastAsia="en-US"/>
    </w:rPr>
  </w:style>
  <w:style w:type="character" w:styleId="ListLabel8">
    <w:name w:val="ListLabel 8"/>
    <w:qFormat/>
    <w:rPr>
      <w:rFonts w:eastAsia="Calibri" w:eastAsiaTheme="minorHAnsi"/>
      <w:sz w:val="24"/>
      <w:szCs w:val="24"/>
      <w:lang w:eastAsia="en-US"/>
    </w:rPr>
  </w:style>
  <w:style w:type="character" w:styleId="ListLabel9">
    <w:name w:val="ListLabel 9"/>
    <w:qFormat/>
    <w:rPr>
      <w:rFonts w:eastAsia="Calibri" w:eastAsiaTheme="minorHAnsi"/>
      <w:sz w:val="24"/>
      <w:szCs w:val="24"/>
      <w:lang w:eastAsia="en-US"/>
    </w:rPr>
  </w:style>
  <w:style w:type="character" w:styleId="ListLabel10">
    <w:name w:val="ListLabel 10"/>
    <w:qFormat/>
    <w:rPr>
      <w:rFonts w:eastAsia="Calibri" w:eastAsiaTheme="minorHAnsi"/>
      <w:sz w:val="24"/>
      <w:szCs w:val="24"/>
      <w:lang w:eastAsia="en-US"/>
    </w:rPr>
  </w:style>
  <w:style w:type="character" w:styleId="ListLabel11">
    <w:name w:val="ListLabel 11"/>
    <w:qFormat/>
    <w:rPr>
      <w:rFonts w:eastAsia="Calibri" w:eastAsiaTheme="minorHAnsi"/>
      <w:sz w:val="24"/>
      <w:szCs w:val="24"/>
      <w:lang w:eastAsia="en-US"/>
    </w:rPr>
  </w:style>
  <w:style w:type="character" w:styleId="ListLabel12">
    <w:name w:val="ListLabel 12"/>
    <w:qFormat/>
    <w:rPr>
      <w:rFonts w:eastAsia="Calibri" w:eastAsiaTheme="minorHAnsi"/>
      <w:sz w:val="24"/>
      <w:szCs w:val="24"/>
      <w:lang w:eastAsia="en-US"/>
    </w:rPr>
  </w:style>
  <w:style w:type="character" w:styleId="ListLabel13">
    <w:name w:val="ListLabel 13"/>
    <w:qFormat/>
    <w:rPr>
      <w:rFonts w:eastAsia="Calibri" w:eastAsiaTheme="minorHAnsi"/>
      <w:sz w:val="28"/>
      <w:szCs w:val="28"/>
      <w:lang w:eastAsia="en-US"/>
    </w:rPr>
  </w:style>
  <w:style w:type="character" w:styleId="ListLabel14">
    <w:name w:val="ListLabel 14"/>
    <w:qFormat/>
    <w:rPr>
      <w:rFonts w:eastAsia="Calibri" w:eastAsiaTheme="minorHAnsi"/>
      <w:sz w:val="28"/>
      <w:szCs w:val="28"/>
      <w:lang w:eastAsia="en-US"/>
    </w:rPr>
  </w:style>
  <w:style w:type="character" w:styleId="ListLabel15">
    <w:name w:val="ListLabel 15"/>
    <w:qFormat/>
    <w:rPr>
      <w:rFonts w:eastAsia="Calibri" w:eastAsiaTheme="minorHAnsi"/>
      <w:sz w:val="28"/>
      <w:szCs w:val="28"/>
      <w:lang w:eastAsia="en-US"/>
    </w:rPr>
  </w:style>
  <w:style w:type="character" w:styleId="ListLabel16">
    <w:name w:val="ListLabel 16"/>
    <w:qFormat/>
    <w:rPr>
      <w:rFonts w:eastAsia="Calibri" w:eastAsiaTheme="minorHAnsi"/>
      <w:sz w:val="28"/>
      <w:szCs w:val="28"/>
      <w:lang w:eastAsia="en-US"/>
    </w:rPr>
  </w:style>
  <w:style w:type="character" w:styleId="ListLabel17">
    <w:name w:val="ListLabel 17"/>
    <w:qFormat/>
    <w:rPr>
      <w:rFonts w:eastAsia="Calibri" w:eastAsiaTheme="minorHAnsi"/>
      <w:sz w:val="28"/>
      <w:szCs w:val="28"/>
      <w:lang w:eastAsia="en-US"/>
    </w:rPr>
  </w:style>
  <w:style w:type="character" w:styleId="ListLabel18">
    <w:name w:val="ListLabel 18"/>
    <w:qFormat/>
    <w:rPr>
      <w:rFonts w:eastAsia="Calibri" w:eastAsiaTheme="minorHAnsi"/>
      <w:sz w:val="28"/>
      <w:szCs w:val="28"/>
      <w:lang w:eastAsia="en-US"/>
    </w:rPr>
  </w:style>
  <w:style w:type="character" w:styleId="ListLabel19">
    <w:name w:val="ListLabel 19"/>
    <w:qFormat/>
    <w:rPr>
      <w:rFonts w:eastAsia="Calibri" w:eastAsiaTheme="minorHAnsi"/>
      <w:sz w:val="28"/>
      <w:szCs w:val="28"/>
      <w:lang w:eastAsia="en-US"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WenQuanYi Zen Hei Sharp" w:cs="Lohit Devanagari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Lohit Devanagari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Lohit Devanagari"/>
    </w:rPr>
  </w:style>
  <w:style w:type="paragraph" w:styleId="Style24">
    <w:name w:val="Title"/>
    <w:basedOn w:val="Normal"/>
    <w:link w:val="a4"/>
    <w:qFormat/>
    <w:rsid w:val="00b813fd"/>
    <w:pPr>
      <w:overflowPunct w:val="false"/>
      <w:spacing w:beforeAutospacing="1" w:afterAutospacing="1"/>
    </w:pPr>
    <w:rPr>
      <w:color w:val="000000"/>
      <w:szCs w:val="24"/>
    </w:rPr>
  </w:style>
  <w:style w:type="paragraph" w:styleId="Style25">
    <w:name w:val="Body Text Indent"/>
    <w:basedOn w:val="Normal"/>
    <w:link w:val="a6"/>
    <w:unhideWhenUsed/>
    <w:rsid w:val="00b813fd"/>
    <w:pPr>
      <w:overflowPunct w:val="false"/>
      <w:spacing w:beforeAutospacing="1" w:afterAutospacing="1"/>
    </w:pPr>
    <w:rPr>
      <w:color w:val="000000"/>
      <w:szCs w:val="24"/>
    </w:rPr>
  </w:style>
  <w:style w:type="paragraph" w:styleId="BodyTextIndent2">
    <w:name w:val="Body Text Indent 2"/>
    <w:basedOn w:val="Normal"/>
    <w:link w:val="20"/>
    <w:semiHidden/>
    <w:unhideWhenUsed/>
    <w:qFormat/>
    <w:rsid w:val="00b813fd"/>
    <w:pPr>
      <w:overflowPunct w:val="false"/>
      <w:spacing w:beforeAutospacing="1" w:afterAutospacing="1"/>
    </w:pPr>
    <w:rPr>
      <w:color w:val="000000"/>
      <w:szCs w:val="24"/>
    </w:rPr>
  </w:style>
  <w:style w:type="paragraph" w:styleId="Style41" w:customStyle="1">
    <w:name w:val="Style4"/>
    <w:basedOn w:val="Normal"/>
    <w:uiPriority w:val="99"/>
    <w:qFormat/>
    <w:rsid w:val="00b813fd"/>
    <w:pPr>
      <w:widowControl w:val="false"/>
      <w:overflowPunct w:val="false"/>
      <w:spacing w:lineRule="exact" w:line="322"/>
      <w:ind w:firstLine="710"/>
      <w:jc w:val="both"/>
    </w:pPr>
    <w:rPr>
      <w:szCs w:val="24"/>
    </w:rPr>
  </w:style>
  <w:style w:type="paragraph" w:styleId="ConsPlusNormal1" w:customStyle="1">
    <w:name w:val="ConsPlusNormal"/>
    <w:link w:val="ConsPlusNormal"/>
    <w:qFormat/>
    <w:rsid w:val="00b813fd"/>
    <w:pPr>
      <w:widowControl w:val="fals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ConsPlusCell" w:customStyle="1">
    <w:name w:val="ConsPlusCell"/>
    <w:qFormat/>
    <w:rsid w:val="00e307b9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NormalWeb">
    <w:name w:val="Normal (Web)"/>
    <w:basedOn w:val="Normal"/>
    <w:link w:val="a9"/>
    <w:qFormat/>
    <w:rsid w:val="001f51d2"/>
    <w:pPr>
      <w:overflowPunct w:val="false"/>
      <w:spacing w:beforeAutospacing="1" w:after="119"/>
    </w:pPr>
    <w:rPr>
      <w:szCs w:val="24"/>
    </w:rPr>
  </w:style>
  <w:style w:type="paragraph" w:styleId="ListParagraph">
    <w:name w:val="List Paragraph"/>
    <w:basedOn w:val="Normal"/>
    <w:uiPriority w:val="34"/>
    <w:qFormat/>
    <w:rsid w:val="00e27aaf"/>
    <w:pPr>
      <w:spacing w:before="0" w:after="0"/>
      <w:ind w:left="720" w:hanging="0"/>
      <w:contextualSpacing/>
    </w:pPr>
    <w:rPr/>
  </w:style>
  <w:style w:type="paragraph" w:styleId="Style26">
    <w:name w:val="Содержимое таблицы"/>
    <w:basedOn w:val="Normal"/>
    <w:qFormat/>
    <w:pPr>
      <w:widowControl w:val="false"/>
      <w:suppressLineNumbers/>
      <w:suppressAutoHyphens w:val="true"/>
    </w:pPr>
    <w:rPr>
      <w:rFonts w:eastAsia="Droid Sans Fallback" w:cs="Lohit Hindi"/>
      <w:kern w:val="2"/>
      <w:lang w:eastAsia="zh-CN" w:bidi="hi-IN"/>
    </w:rPr>
  </w:style>
  <w:style w:type="paragraph" w:styleId="Style27">
    <w:name w:val="Заголовок таблицы"/>
    <w:basedOn w:val="Style26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151BD6-38C7-4C04-BF03-51109C7D86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Application>LibreOffice/6.0.6.1$Linux_X86_64 LibreOffice_project/00$Build-1</Application>
  <Pages>3</Pages>
  <Words>492</Words>
  <Characters>3622</Characters>
  <CharactersWithSpaces>4148</CharactersWithSpaces>
  <Paragraphs>58</Paragraphs>
  <Company>Комитет по управлению имуществом Курской области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2019-01-28T11:09:00Z</dcterms:created>
  <dc:creator>ZAK13</dc:creator>
  <dc:description/>
  <dc:language>ru-RU</dc:language>
  <cp:lastModifiedBy/>
  <cp:lastPrinted>2019-10-30T15:17:36Z</cp:lastPrinted>
  <dcterms:modified xsi:type="dcterms:W3CDTF">2020-01-15T15:27:33Z</dcterms:modified>
  <cp:revision>72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 по 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