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rPr>
      </w:pPr>
      <w:bookmarkStart w:id="0" w:name="_GoBack"/>
      <w:bookmarkEnd w:id="0"/>
      <w:r>
        <w:rPr>
          <w:rFonts w:eastAsia="Times New Roman"/>
          <w:b/>
          <w:bCs/>
          <w:sz w:val="20"/>
          <w:szCs w:val="20"/>
        </w:rPr>
        <w:t>Протокол подведения итогов электронного аукциона</w:t>
      </w:r>
    </w:p>
    <w:p>
      <w:pPr>
        <w:pStyle w:val="Normal"/>
        <w:ind w:firstLine="567"/>
        <w:jc w:val="center"/>
        <w:rPr>
          <w:sz w:val="20"/>
          <w:szCs w:val="20"/>
        </w:rPr>
      </w:pPr>
      <w:r>
        <w:rPr>
          <w:rFonts w:eastAsia="Times New Roman"/>
          <w:b/>
          <w:bCs/>
          <w:sz w:val="20"/>
          <w:szCs w:val="20"/>
        </w:rPr>
        <w:t>"Капитальный ремонт буны №2 с причалом для лодок CXXV и здания лодочной станции Литера "БА" (площадка для хранения плавательных средств и подъездов), 2-ая очередь ФКУЗ "Санаторий "Салют" МВД России" , расположенного по адресу: Краснодарский край, г.Сочи ул. Санаторная, 49" </w:t>
      </w:r>
    </w:p>
    <w:p>
      <w:pPr>
        <w:pStyle w:val="Normal"/>
        <w:ind w:firstLine="567"/>
        <w:jc w:val="center"/>
        <w:rPr>
          <w:rFonts w:eastAsia="Times New Roman"/>
          <w:b/>
          <w:b/>
          <w:bCs/>
          <w:lang w:val="en-US"/>
        </w:rP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0318100066420000078) </w:t>
      </w:r>
    </w:p>
    <w:p>
      <w:pPr>
        <w:pStyle w:val="Normal"/>
        <w:ind w:firstLine="567"/>
        <w:jc w:val="center"/>
        <w:rPr>
          <w:sz w:val="20"/>
          <w:szCs w:val="20"/>
          <w:lang w:val="en-US"/>
        </w:rPr>
      </w:pPr>
      <w:r>
        <w:rPr>
          <w:sz w:val="20"/>
          <w:szCs w:val="20"/>
          <w:lang w:val="en-US"/>
        </w:rPr>
      </w:r>
    </w:p>
    <w:p>
      <w:pPr>
        <w:pStyle w:val="Normal"/>
        <w:ind w:firstLine="567"/>
        <w:jc w:val="right"/>
        <w:rPr>
          <w:lang w:val="en-US"/>
        </w:rPr>
      </w:pPr>
      <w:r>
        <w:rPr>
          <w:rFonts w:eastAsia="Times New Roman"/>
          <w:sz w:val="20"/>
          <w:szCs w:val="20"/>
          <w:lang w:val="en-US"/>
        </w:rPr>
        <w:t>17.04.20 13:48:37 (MSK+00:00)</w:t>
      </w:r>
    </w:p>
    <w:p>
      <w:pPr>
        <w:pStyle w:val="Normal"/>
        <w:ind w:firstLine="567"/>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Место</w:t>
      </w:r>
      <w:r>
        <w:rPr>
          <w:rFonts w:eastAsia="Times New Roman"/>
          <w:sz w:val="20"/>
          <w:szCs w:val="20"/>
          <w:lang w:val="en-US"/>
        </w:rPr>
        <w:t xml:space="preserve"> </w:t>
      </w:r>
      <w:r>
        <w:rPr>
          <w:rFonts w:eastAsia="Times New Roman"/>
          <w:sz w:val="20"/>
          <w:szCs w:val="20"/>
        </w:rPr>
        <w:t>публикации</w:t>
      </w:r>
      <w:r>
        <w:rPr>
          <w:rFonts w:eastAsia="Times New Roman"/>
          <w:sz w:val="20"/>
          <w:szCs w:val="20"/>
          <w:lang w:val="en-US"/>
        </w:rPr>
        <w:t>: Российская Федерация, 354008, Краснодарский край, Сочи г, УЛ САНАТОРНАЯ, 49</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ФЕДЕРАЛЬНОЕ КАЗЕННОЕ УЧРЕЖДЕНИЕ ЗДРАВООХРАНЕНИЯ "САНАТОРИЙ "САЛЮТ" МИНИСТЕРСТВА ВНУТРЕННИХ ДЕЛ РОССИЙСКОЙ ФЕДЕРАЦИИ"</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lang w:val="en-US"/>
        </w:rPr>
        <w:t>Заказчик: ФЕДЕРАЛЬНОЕ КАЗЕННОЕ УЧРЕЖДЕНИЕ ЗДРАВООХРАНЕНИЯ "САНАТОРИЙ "САЛЮТ" МИНИСТЕРСТВА ВНУТРЕННИХ ДЕЛ РОССИЙСКОЙ ФЕДЕРАЦИИ"</w:t>
      </w:r>
    </w:p>
    <w:p>
      <w:pPr>
        <w:pStyle w:val="Normal"/>
        <w:rPr>
          <w:rFonts w:eastAsia="Times New Roman"/>
          <w:sz w:val="20"/>
          <w:szCs w:val="20"/>
          <w:lang w:val="en-US"/>
        </w:rPr>
      </w:pPr>
      <w:r>
        <w:rPr>
          <w:rFonts w:eastAsia="Times New Roman"/>
          <w:sz w:val="20"/>
          <w:szCs w:val="20"/>
          <w:lang w:val="en-US"/>
        </w:rPr>
      </w:r>
    </w:p>
    <w:p>
      <w:pPr>
        <w:pStyle w:val="Normal"/>
        <w:rPr>
          <w:sz w:val="20"/>
          <w:szCs w:val="20"/>
          <w:lang w:val="en-US"/>
        </w:rPr>
      </w:pPr>
      <w:r>
        <w:rPr>
          <w:rFonts w:eastAsia="Times New Roman"/>
          <w:sz w:val="20"/>
          <w:szCs w:val="20"/>
        </w:rPr>
        <w:t>Наименование</w:t>
      </w:r>
      <w:r>
        <w:rPr>
          <w:rFonts w:eastAsia="Times New Roman"/>
          <w:sz w:val="20"/>
          <w:szCs w:val="20"/>
          <w:lang w:val="en-US"/>
        </w:rPr>
        <w:t xml:space="preserve"> </w:t>
      </w:r>
      <w:r>
        <w:rPr>
          <w:rFonts w:eastAsia="Times New Roman"/>
          <w:sz w:val="20"/>
          <w:szCs w:val="20"/>
        </w:rPr>
        <w:t>закупки</w:t>
      </w:r>
      <w:r>
        <w:rPr>
          <w:rFonts w:eastAsia="Times New Roman"/>
          <w:sz w:val="20"/>
          <w:szCs w:val="20"/>
          <w:lang w:val="en-US"/>
        </w:rPr>
        <w:t xml:space="preserve">: Капитальный ремонт буны №2 с причалом для лодок CXXV и здания лодочной станции Литера "БА" (площадка для хранения плавательных средств и подъездов), 2-ая очередь ФКУЗ "Санаторий "Салют" МВД России" , расположенного по адресу: Краснодарский край, г.Сочи ул. Санаторная, 49 </w:t>
      </w:r>
    </w:p>
    <w:p>
      <w:pPr>
        <w:pStyle w:val="Normal"/>
        <w:rPr>
          <w:rFonts w:eastAsia="Times New Roman"/>
          <w:sz w:val="20"/>
          <w:szCs w:val="20"/>
          <w:lang w:val="en-US"/>
        </w:rPr>
      </w:pPr>
      <w:r>
        <w:rPr>
          <w:rFonts w:eastAsia="Times New Roman"/>
          <w:sz w:val="20"/>
          <w:szCs w:val="20"/>
          <w:lang w:val="en-US"/>
        </w:rPr>
      </w:r>
    </w:p>
    <w:p>
      <w:pPr>
        <w:pStyle w:val="Normal"/>
        <w:rPr>
          <w:rFonts w:eastAsia="Times New Roman"/>
          <w:sz w:val="20"/>
          <w:szCs w:val="20"/>
        </w:rPr>
      </w:pPr>
      <w:r>
        <w:rPr>
          <w:rFonts w:eastAsia="Times New Roman"/>
          <w:sz w:val="20"/>
          <w:szCs w:val="20"/>
        </w:rPr>
        <w:t>Идентификационный код закупки: 201232003629623200100101510014120243</w:t>
      </w:r>
    </w:p>
    <w:p>
      <w:pPr>
        <w:pStyle w:val="Normal"/>
        <w:rPr/>
      </w:pPr>
      <w:r>
        <w:rPr/>
      </w:r>
    </w:p>
    <w:p>
      <w:pPr>
        <w:pStyle w:val="Normal"/>
        <w:rPr/>
      </w:pPr>
      <w:r>
        <w:rPr>
          <w:rFonts w:eastAsia="Times New Roman"/>
          <w:sz w:val="20"/>
          <w:szCs w:val="20"/>
        </w:rPr>
        <w:t>Начальная (максимальная) цена контракта/Максимальное значение цены контракта: 15 007 770,40 руб.</w:t>
      </w:r>
    </w:p>
    <w:p>
      <w:pPr>
        <w:pStyle w:val="Normal"/>
        <w:rPr>
          <w:rFonts w:eastAsia="Times New Roman"/>
          <w:sz w:val="20"/>
          <w:szCs w:val="20"/>
          <w:lang w:val="en-US"/>
        </w:rPr>
      </w:pPr>
      <w:r>
        <w:rPr>
          <w:rFonts w:eastAsia="Times New Roman"/>
          <w:sz w:val="20"/>
          <w:szCs w:val="20"/>
          <w:lang w:val="en-US"/>
        </w:rPr>
      </w:r>
    </w:p>
    <w:p>
      <w:pPr>
        <w:pStyle w:val="Normal"/>
        <w:rPr>
          <w:lang w:val="en-US"/>
        </w:rPr>
      </w:pPr>
      <w:r>
        <w:rPr>
          <w:rFonts w:eastAsia="Times New Roman"/>
          <w:sz w:val="20"/>
          <w:szCs w:val="20"/>
        </w:rPr>
        <w:t>Снижение</w:t>
      </w:r>
      <w:r>
        <w:rPr>
          <w:rFonts w:eastAsia="Times New Roman"/>
          <w:sz w:val="20"/>
          <w:szCs w:val="20"/>
          <w:lang w:val="en-US"/>
        </w:rPr>
        <w:t xml:space="preserve"> </w:t>
      </w:r>
      <w:r>
        <w:rPr>
          <w:rFonts w:eastAsia="Times New Roman"/>
          <w:sz w:val="20"/>
          <w:szCs w:val="20"/>
        </w:rPr>
        <w:t>НМЦК</w:t>
      </w:r>
      <w:r>
        <w:rPr>
          <w:rFonts w:eastAsia="Times New Roman"/>
          <w:sz w:val="20"/>
          <w:szCs w:val="20"/>
          <w:lang w:val="en-US"/>
        </w:rPr>
        <w:t>, %: 32.38</w:t>
      </w:r>
    </w:p>
    <w:p>
      <w:pPr>
        <w:pStyle w:val="Normal"/>
        <w:rPr>
          <w:rFonts w:eastAsia="Times New Roman"/>
          <w:sz w:val="20"/>
          <w:szCs w:val="20"/>
          <w:lang w:val="en-US"/>
        </w:rPr>
      </w:pPr>
      <w:r>
        <w:rPr>
          <w:rFonts w:eastAsia="Times New Roman"/>
          <w:sz w:val="20"/>
          <w:szCs w:val="20"/>
          <w:lang w:val="en-US"/>
        </w:rPr>
      </w:r>
    </w:p>
    <w:p>
      <w:pPr>
        <w:pStyle w:val="Normal"/>
        <w:rPr>
          <w:sz w:val="20"/>
          <w:szCs w:val="20"/>
        </w:rPr>
      </w:pPr>
      <w:r>
        <w:rPr>
          <w:rFonts w:eastAsia="Times New Roman"/>
          <w:sz w:val="20"/>
          <w:szCs w:val="20"/>
        </w:rPr>
        <w:t>Состав аукционной комиссии:</w:t>
      </w:r>
    </w:p>
    <w:tbl>
      <w:tblPr>
        <w:tblW w:w="5000" w:type="pct"/>
        <w:jc w:val="left"/>
        <w:tblInd w:w="-14" w:type="dxa"/>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rPr>
                <w:sz w:val="20"/>
                <w:szCs w:val="20"/>
                <w:lang w:val="en-US"/>
              </w:rPr>
            </w:pPr>
            <w:r>
              <w:rPr>
                <w:sz w:val="20"/>
                <w:szCs w:val="20"/>
                <w:lang w:val="en-US"/>
              </w:rPr>
              <w:t>Председатель комиссии</w:t>
            </w:r>
          </w:p>
        </w:tc>
        <w:tc>
          <w:tcPr>
            <w:tcW w:w="4961" w:type="dxa"/>
            <w:tcBorders/>
            <w:shd w:color="auto" w:fill="auto" w:val="clear"/>
          </w:tcPr>
          <w:p>
            <w:pPr>
              <w:pStyle w:val="Normal"/>
              <w:rPr>
                <w:sz w:val="20"/>
                <w:szCs w:val="20"/>
              </w:rPr>
            </w:pPr>
            <w:r>
              <w:rPr>
                <w:sz w:val="20"/>
                <w:szCs w:val="20"/>
                <w:lang w:val="en-US"/>
              </w:rPr>
              <w:t>Еремий Марианна Викторовна</w:t>
            </w:r>
          </w:p>
        </w:tc>
      </w:tr>
      <w:tr>
        <w:trPr/>
        <w:tc>
          <w:tcPr>
            <w:tcW w:w="4960" w:type="dxa"/>
            <w:tcBorders/>
            <w:shd w:color="auto" w:fill="auto" w:val="clear"/>
          </w:tcPr>
          <w:p>
            <w:pPr>
              <w:pStyle w:val="Normal"/>
              <w:rPr>
                <w:sz w:val="20"/>
                <w:szCs w:val="20"/>
                <w:lang w:val="en-US"/>
              </w:rPr>
            </w:pPr>
            <w:r>
              <w:rPr>
                <w:sz w:val="20"/>
                <w:szCs w:val="20"/>
                <w:lang w:val="en-US"/>
              </w:rPr>
              <w:t>Зам. председателя комиссии</w:t>
            </w:r>
          </w:p>
        </w:tc>
        <w:tc>
          <w:tcPr>
            <w:tcW w:w="4961" w:type="dxa"/>
            <w:tcBorders/>
            <w:shd w:color="auto" w:fill="auto" w:val="clear"/>
          </w:tcPr>
          <w:p>
            <w:pPr>
              <w:pStyle w:val="Normal"/>
              <w:rPr>
                <w:sz w:val="20"/>
                <w:szCs w:val="20"/>
              </w:rPr>
            </w:pPr>
            <w:r>
              <w:rPr>
                <w:sz w:val="20"/>
                <w:szCs w:val="20"/>
                <w:lang w:val="en-US"/>
              </w:rPr>
              <w:t>Пацюк Юрий Александрович</w:t>
            </w:r>
          </w:p>
        </w:tc>
      </w:tr>
      <w:tr>
        <w:trPr/>
        <w:tc>
          <w:tcPr>
            <w:tcW w:w="4960" w:type="dxa"/>
            <w:tcBorders/>
            <w:shd w:color="auto" w:fill="auto" w:val="clear"/>
          </w:tcPr>
          <w:p>
            <w:pPr>
              <w:pStyle w:val="Normal"/>
              <w:rPr>
                <w:sz w:val="20"/>
                <w:szCs w:val="20"/>
                <w:lang w:val="en-US"/>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Рязанцев Алексей Юрьевич</w:t>
            </w:r>
          </w:p>
        </w:tc>
      </w:tr>
      <w:tr>
        <w:trPr/>
        <w:tc>
          <w:tcPr>
            <w:tcW w:w="4960" w:type="dxa"/>
            <w:tcBorders/>
            <w:shd w:color="auto" w:fill="auto" w:val="clear"/>
          </w:tcPr>
          <w:p>
            <w:pPr>
              <w:pStyle w:val="Normal"/>
              <w:rPr>
                <w:sz w:val="20"/>
                <w:szCs w:val="20"/>
                <w:lang w:val="en-US"/>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Щенева Екатерина Александровна</w:t>
            </w:r>
          </w:p>
        </w:tc>
      </w:tr>
      <w:tr>
        <w:trPr/>
        <w:tc>
          <w:tcPr>
            <w:tcW w:w="4960" w:type="dxa"/>
            <w:tcBorders/>
            <w:shd w:color="auto" w:fill="auto" w:val="clear"/>
          </w:tcPr>
          <w:p>
            <w:pPr>
              <w:pStyle w:val="Normal"/>
              <w:rPr>
                <w:sz w:val="20"/>
                <w:szCs w:val="20"/>
                <w:lang w:val="en-US"/>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Тарунина Светлана  Михайловна</w:t>
            </w:r>
          </w:p>
        </w:tc>
      </w:tr>
      <w:tr>
        <w:trPr/>
        <w:tc>
          <w:tcPr>
            <w:tcW w:w="4960" w:type="dxa"/>
            <w:tcBorders/>
            <w:shd w:color="auto" w:fill="auto" w:val="clear"/>
          </w:tcPr>
          <w:p>
            <w:pPr>
              <w:pStyle w:val="Normal"/>
              <w:rPr>
                <w:sz w:val="20"/>
                <w:szCs w:val="20"/>
                <w:lang w:val="en-US"/>
              </w:rPr>
            </w:pPr>
            <w:r>
              <w:rPr>
                <w:sz w:val="20"/>
                <w:szCs w:val="20"/>
                <w:lang w:val="en-US"/>
              </w:rPr>
              <w:t>Секретарь</w:t>
            </w:r>
          </w:p>
        </w:tc>
        <w:tc>
          <w:tcPr>
            <w:tcW w:w="4961" w:type="dxa"/>
            <w:tcBorders/>
            <w:shd w:color="auto" w:fill="auto" w:val="clear"/>
          </w:tcPr>
          <w:p>
            <w:pPr>
              <w:pStyle w:val="Normal"/>
              <w:rPr>
                <w:sz w:val="20"/>
                <w:szCs w:val="20"/>
              </w:rPr>
            </w:pPr>
            <w:r>
              <w:rPr>
                <w:sz w:val="20"/>
                <w:szCs w:val="20"/>
                <w:lang w:val="en-US"/>
              </w:rPr>
              <w:t>Пилипчук Наталья Валерьевна</w:t>
            </w:r>
          </w:p>
        </w:tc>
      </w:tr>
    </w:tbl>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На заседании аукционной комиссии присутствуют:</w:t>
      </w:r>
    </w:p>
    <w:tbl>
      <w:tblPr>
        <w:tblW w:w="5000" w:type="pct"/>
        <w:jc w:val="left"/>
        <w:tblInd w:w="-14" w:type="dxa"/>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color="auto" w:fill="auto" w:val="clear"/>
          </w:tcPr>
          <w:p>
            <w:pPr>
              <w:pStyle w:val="Normal"/>
              <w:rPr>
                <w:sz w:val="20"/>
                <w:szCs w:val="20"/>
              </w:rPr>
            </w:pPr>
            <w:r>
              <w:rPr>
                <w:sz w:val="20"/>
                <w:szCs w:val="20"/>
                <w:lang w:val="en-US"/>
              </w:rPr>
              <w:t>Председатель комиссии</w:t>
            </w:r>
          </w:p>
        </w:tc>
        <w:tc>
          <w:tcPr>
            <w:tcW w:w="4961" w:type="dxa"/>
            <w:tcBorders/>
            <w:shd w:color="auto" w:fill="auto" w:val="clear"/>
          </w:tcPr>
          <w:p>
            <w:pPr>
              <w:pStyle w:val="Normal"/>
              <w:rPr>
                <w:sz w:val="20"/>
                <w:szCs w:val="20"/>
              </w:rPr>
            </w:pPr>
            <w:r>
              <w:rPr>
                <w:sz w:val="20"/>
                <w:szCs w:val="20"/>
                <w:lang w:val="en-US"/>
              </w:rPr>
              <w:t>Еремий Марианна Викторовна</w:t>
            </w:r>
          </w:p>
        </w:tc>
      </w:tr>
      <w:tr>
        <w:trPr/>
        <w:tc>
          <w:tcPr>
            <w:tcW w:w="4960" w:type="dxa"/>
            <w:tcBorders/>
            <w:shd w:color="auto" w:fill="auto" w:val="clear"/>
          </w:tcPr>
          <w:p>
            <w:pPr>
              <w:pStyle w:val="Normal"/>
              <w:rPr>
                <w:sz w:val="20"/>
                <w:szCs w:val="20"/>
              </w:rPr>
            </w:pPr>
            <w:r>
              <w:rPr>
                <w:sz w:val="20"/>
                <w:szCs w:val="20"/>
                <w:lang w:val="en-US"/>
              </w:rPr>
              <w:t>Зам. председателя комиссии</w:t>
            </w:r>
          </w:p>
        </w:tc>
        <w:tc>
          <w:tcPr>
            <w:tcW w:w="4961" w:type="dxa"/>
            <w:tcBorders/>
            <w:shd w:color="auto" w:fill="auto" w:val="clear"/>
          </w:tcPr>
          <w:p>
            <w:pPr>
              <w:pStyle w:val="Normal"/>
              <w:rPr>
                <w:sz w:val="20"/>
                <w:szCs w:val="20"/>
              </w:rPr>
            </w:pPr>
            <w:r>
              <w:rPr>
                <w:sz w:val="20"/>
                <w:szCs w:val="20"/>
                <w:lang w:val="en-US"/>
              </w:rPr>
              <w:t>Пацюк Юрий Александрович</w:t>
            </w:r>
          </w:p>
        </w:tc>
      </w:tr>
      <w:tr>
        <w:trPr/>
        <w:tc>
          <w:tcPr>
            <w:tcW w:w="4960" w:type="dxa"/>
            <w:tcBorders/>
            <w:shd w:color="auto" w:fill="auto" w:val="clear"/>
          </w:tcPr>
          <w:p>
            <w:pPr>
              <w:pStyle w:val="Normal"/>
              <w:rPr>
                <w:sz w:val="20"/>
                <w:szCs w:val="20"/>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Рязанцев Алексей Юрьевич</w:t>
            </w:r>
          </w:p>
        </w:tc>
      </w:tr>
      <w:tr>
        <w:trPr/>
        <w:tc>
          <w:tcPr>
            <w:tcW w:w="4960" w:type="dxa"/>
            <w:tcBorders/>
            <w:shd w:color="auto" w:fill="auto" w:val="clear"/>
          </w:tcPr>
          <w:p>
            <w:pPr>
              <w:pStyle w:val="Normal"/>
              <w:rPr>
                <w:sz w:val="20"/>
                <w:szCs w:val="20"/>
              </w:rPr>
            </w:pPr>
            <w:r>
              <w:rPr>
                <w:sz w:val="20"/>
                <w:szCs w:val="20"/>
                <w:lang w:val="en-US"/>
              </w:rPr>
              <w:t>Член комиссии</w:t>
            </w:r>
          </w:p>
        </w:tc>
        <w:tc>
          <w:tcPr>
            <w:tcW w:w="4961" w:type="dxa"/>
            <w:tcBorders/>
            <w:shd w:color="auto" w:fill="auto" w:val="clear"/>
          </w:tcPr>
          <w:p>
            <w:pPr>
              <w:pStyle w:val="Normal"/>
              <w:rPr>
                <w:sz w:val="20"/>
                <w:szCs w:val="20"/>
              </w:rPr>
            </w:pPr>
            <w:r>
              <w:rPr>
                <w:sz w:val="20"/>
                <w:szCs w:val="20"/>
                <w:lang w:val="en-US"/>
              </w:rPr>
              <w:t>Щенева Екатерина Александровна</w:t>
            </w:r>
          </w:p>
        </w:tc>
      </w:tr>
    </w:tbl>
    <w:p>
      <w:pPr>
        <w:pStyle w:val="Normal"/>
        <w:rPr>
          <w:rFonts w:eastAsia="Times New Roman"/>
          <w:sz w:val="20"/>
          <w:szCs w:val="20"/>
        </w:rPr>
      </w:pPr>
      <w:r>
        <w:rPr>
          <w:rFonts w:eastAsia="Times New Roman"/>
          <w:sz w:val="20"/>
          <w:szCs w:val="20"/>
        </w:rPr>
      </w:r>
    </w:p>
    <w:p>
      <w:pPr>
        <w:pStyle w:val="Normal"/>
        <w:jc w:val="both"/>
        <w:rPr/>
      </w:pPr>
      <w:r>
        <w:rPr>
          <w:rFonts w:eastAsia="Times New Roman"/>
          <w:sz w:val="20"/>
          <w:szCs w:val="20"/>
        </w:rPr>
        <w:t>Заседание комиссии правомочно, кворум имеется.</w:t>
      </w:r>
    </w:p>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rPr>
      </w:pPr>
      <w:r>
        <w:rPr>
          <w:rFonts w:eastAsia="Times New Roman"/>
          <w:sz w:val="20"/>
          <w:szCs w:val="20"/>
        </w:rPr>
      </w:r>
    </w:p>
    <w:tbl>
      <w:tblPr>
        <w:tblW w:w="9977" w:type="dxa"/>
        <w:jc w:val="left"/>
        <w:tblInd w:w="0" w:type="dxa"/>
        <w:tblCellMar>
          <w:top w:w="55" w:type="dxa"/>
          <w:left w:w="55" w:type="dxa"/>
          <w:bottom w:w="55" w:type="dxa"/>
          <w:right w:w="55" w:type="dxa"/>
        </w:tblCellMar>
        <w:tblLook w:firstRow="1" w:noVBand="1" w:lastRow="0" w:firstColumn="1" w:lastColumn="0" w:noHBand="0" w:val="04a0"/>
      </w:tblPr>
      <w:tblGrid>
        <w:gridCol w:w="3034"/>
        <w:gridCol w:w="1668"/>
        <w:gridCol w:w="1861"/>
        <w:gridCol w:w="1669"/>
        <w:gridCol w:w="1745"/>
      </w:tblGrid>
      <w:tr>
        <w:trPr>
          <w:trHeight w:val="285" w:hRule="atLeast"/>
        </w:trPr>
        <w:tc>
          <w:tcPr>
            <w:tcW w:w="9977" w:type="dxa"/>
            <w:gridSpan w:val="5"/>
            <w:tcBorders/>
            <w:shd w:color="auto" w:fill="auto" w:val="clear"/>
          </w:tcPr>
          <w:p>
            <w:pPr>
              <w:pStyle w:val="Normal"/>
              <w:rPr>
                <w:sz w:val="20"/>
                <w:szCs w:val="20"/>
              </w:rPr>
            </w:pPr>
            <w:r>
              <w:rPr>
                <w:rFonts w:eastAsia="Times New Roman"/>
                <w:sz w:val="20"/>
                <w:szCs w:val="20"/>
              </w:rPr>
              <w:t>Сведения о решении аукционной комиссии:</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Normal"/>
              <w:rPr>
                <w:sz w:val="20"/>
                <w:szCs w:val="20"/>
              </w:rPr>
            </w:pPr>
            <w:r>
              <w:rPr>
                <w:rFonts w:eastAsia="Times New Roman"/>
                <w:sz w:val="20"/>
                <w:szCs w:val="20"/>
              </w:rPr>
              <w:t>Идентификационный номер</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eastAsia="Times New Roman"/>
              </w:rPr>
            </w:pPr>
            <w:r>
              <w:rPr>
                <w:rFonts w:eastAsia="Times New Roman"/>
                <w:sz w:val="20"/>
                <w:szCs w:val="20"/>
              </w:rPr>
              <w:t>Наименование / ИНН участника аукциона</w:t>
            </w:r>
          </w:p>
        </w:tc>
        <w:tc>
          <w:tcPr>
            <w:tcW w:w="186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rFonts w:eastAsia="Times New Roman"/>
              </w:rPr>
            </w:pPr>
            <w:bookmarkStart w:id="5" w:name="__DdeLink__148_3082067383"/>
            <w:bookmarkEnd w:id="5"/>
            <w:r>
              <w:rPr>
                <w:rFonts w:eastAsia="Times New Roman"/>
                <w:sz w:val="20"/>
                <w:szCs w:val="20"/>
              </w:rPr>
              <w:t>Минимальное предложение о цене контракта, сделанное участником аукциона</w:t>
            </w:r>
          </w:p>
        </w:tc>
        <w:tc>
          <w:tcPr>
            <w:tcW w:w="1669" w:type="dxa"/>
            <w:tcBorders>
              <w:top w:val="single" w:sz="2" w:space="0" w:color="000001"/>
              <w:left w:val="single" w:sz="2" w:space="0" w:color="000001"/>
              <w:bottom w:val="single" w:sz="2" w:space="0" w:color="000001"/>
            </w:tcBorders>
            <w:shd w:color="auto" w:fill="auto" w:val="clear"/>
            <w:tcMar>
              <w:left w:w="0" w:type="dxa"/>
            </w:tcMar>
          </w:tcPr>
          <w:p>
            <w:pPr>
              <w:pStyle w:val="Normal"/>
              <w:rPr>
                <w:sz w:val="20"/>
                <w:szCs w:val="20"/>
              </w:rPr>
            </w:pPr>
            <w:r>
              <w:rPr>
                <w:rFonts w:eastAsia="Times New Roman"/>
                <w:sz w:val="20"/>
                <w:szCs w:val="20"/>
              </w:rPr>
              <w:t xml:space="preserve">Решение </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rPr>
            </w:pPr>
            <w:r>
              <w:rPr>
                <w:rFonts w:eastAsia="Times New Roman"/>
                <w:sz w:val="20"/>
                <w:szCs w:val="20"/>
              </w:rPr>
              <w:t>Обоснование</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lang w:val="en-US"/>
              </w:rPr>
            </w:pPr>
            <w:r>
              <w:rPr>
                <w:sz w:val="20"/>
                <w:szCs w:val="20"/>
                <w:lang w:val="en-US"/>
              </w:rPr>
              <w:t>EA-46063</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"КОМПАНИЯ "ПСК-ЮГ" / 2320181590</w:t>
            </w:r>
          </w:p>
        </w:tc>
        <w:tc>
          <w:tcPr>
            <w:tcW w:w="186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10 148 989,88 руб.</w:t>
            </w:r>
          </w:p>
        </w:tc>
        <w:tc>
          <w:tcPr>
            <w:tcW w:w="1669"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lang w:val="en-US"/>
              </w:rPr>
            </w:pPr>
            <w:r>
              <w:rPr>
                <w:sz w:val="20"/>
                <w:szCs w:val="20"/>
                <w:lang w:val="en-US"/>
              </w:rPr>
              <w:t>EA-45982</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"ОРИОН" / 5407489017</w:t>
            </w:r>
          </w:p>
        </w:tc>
        <w:tc>
          <w:tcPr>
            <w:tcW w:w="186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10 224 028,73 руб.</w:t>
            </w:r>
          </w:p>
        </w:tc>
        <w:tc>
          <w:tcPr>
            <w:tcW w:w="1669"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несоответствие участника такого аукциона требованиям, установленным в соответствии со статьей 31 Федерального закона №44-ФЗ</w:t>
              <w:br/>
              <w:t/>
              <w:br/>
              <w:t>Несоответствие участника аукциона требованиям, установленными в соответствии со ст. 31. Федерального закона № 44-ФЗ  ( Отклонена по п. 2. ч. 6 ст. 69 44-ФЗ) а именно:
В целях исполнения требований, установленных  п . 3 ч. 2 ст. 31 Законом № 44 ФЗ и согласно п. 2. приложения № 1 к Постановлению Правительства № 99 Заказчик установил  дополнительные к  требования к участникам закупки к наличию  опыта работ, связанных с предметом контракта, и деловой репутации: -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(за исключением линейного объекта). При этом стоимость такого одного исполненного контракта (договора) должна составлять: -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 
	Участником аукциона ООО "ОРИОН" предоставлены в качестве подтверждения наличия опыта по предмету закупки следующий документ: - Договор  № 47-19/ЭЗК-223 на Текущий ремонт помещений ФГАОУ ВО «Севастопольский государственный университет» расположенных по адресу: ул. Университетская, д. 33, отсек А, 2 этаж, на сумму 6 172 008 (шесть миллионов сто семьдесят две тысячи восемь) рублей 01 копейка.   
- Государственный контракта № 0318100013219000024001 на капитальный ремонт санитарных узлов казармы – общежития  на сумму: 2 200 878 (два миллиона двести тысяч восемьсот семьдесят восемь) рублей 24 (двадцать четыре)  копейки.
	- Государственный контракта № 40 на осуществить оказание услуг по комплексному обслуживанию помещений (текущему ремонту), на сумму: 1 736 284 (Один миллион семьсот тридцать шесть тысяч двести восемьдесят четыре) рубля 53 копейки. 
	При этом участнику аукциона ООО "ОРИОН"  должен был потвердть опыт исполнения одного контракта,  ≤ 7503 885 рублей 20 копеек.
</w:t>
            </w:r>
          </w:p>
        </w:tc>
      </w:tr>
      <w:tr>
        <w:trPr/>
        <w:tc>
          <w:tcPr>
            <w:tcW w:w="3034"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lang w:val="en-US"/>
              </w:rPr>
            </w:pPr>
            <w:r>
              <w:rPr>
                <w:sz w:val="20"/>
                <w:szCs w:val="20"/>
                <w:lang w:val="en-US"/>
              </w:rPr>
              <w:t>EA-46043</w:t>
            </w:r>
          </w:p>
        </w:tc>
        <w:tc>
          <w:tcPr>
            <w:tcW w:w="166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"ВИНТАЖ" / 2320236986</w:t>
            </w:r>
          </w:p>
        </w:tc>
        <w:tc>
          <w:tcPr>
            <w:tcW w:w="186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11 274 572,63 руб.</w:t>
            </w:r>
          </w:p>
        </w:tc>
        <w:tc>
          <w:tcPr>
            <w:tcW w:w="1669" w:type="dxa"/>
            <w:tcBorders>
              <w:top w:val="single" w:sz="2" w:space="0" w:color="000001"/>
              <w:left w:val="single" w:sz="2" w:space="0" w:color="000001"/>
              <w:bottom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c>
          <w:tcPr>
            <w:tcW w:w="1745"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w:t>
            </w:r>
          </w:p>
        </w:tc>
      </w:tr>
    </w:tbl>
    <w:p>
      <w:pPr>
        <w:pStyle w:val="Normal"/>
        <w:rPr>
          <w:rFonts w:eastAsia="Times New Roman"/>
          <w:sz w:val="20"/>
          <w:szCs w:val="20"/>
        </w:rPr>
      </w:pPr>
      <w:r>
        <w:rPr>
          <w:rFonts w:eastAsia="Times New Roman"/>
          <w:sz w:val="20"/>
          <w:szCs w:val="20"/>
        </w:rPr>
      </w:r>
    </w:p>
    <w:tbl>
      <w:tblPr>
        <w:tblW w:w="9977" w:type="dxa"/>
        <w:jc w:val="left"/>
        <w:tblInd w:w="0" w:type="dxa"/>
        <w:tblCellMar>
          <w:top w:w="55" w:type="dxa"/>
          <w:left w:w="55" w:type="dxa"/>
          <w:bottom w:w="55" w:type="dxa"/>
          <w:right w:w="55" w:type="dxa"/>
        </w:tblCellMar>
        <w:tblLook w:firstRow="1" w:noVBand="1" w:lastRow="0" w:firstColumn="1" w:lastColumn="0" w:noHBand="0" w:val="04a0"/>
      </w:tblPr>
      <w:tblGrid>
        <w:gridCol w:w="2832"/>
        <w:gridCol w:w="1687"/>
        <w:gridCol w:w="1808"/>
        <w:gridCol w:w="1909"/>
        <w:gridCol w:w="1741"/>
      </w:tblGrid>
      <w:tr>
        <w:trPr/>
        <w:tc>
          <w:tcPr>
            <w:tcW w:w="9977" w:type="dxa"/>
            <w:gridSpan w:val="5"/>
            <w:tcBorders/>
            <w:shd w:color="auto" w:fill="auto" w:val="clear"/>
          </w:tcPr>
          <w:p>
            <w:pPr>
              <w:pStyle w:val="Normal"/>
              <w:ind w:left="-45" w:hanging="0"/>
              <w:rPr>
                <w:sz w:val="20"/>
                <w:szCs w:val="20"/>
              </w:rPr>
            </w:pPr>
            <w:r>
              <w:rPr>
                <w:rFonts w:eastAsia="Times New Roman"/>
                <w:sz w:val="20"/>
                <w:szCs w:val="20"/>
              </w:rPr>
              <w:t>Сведения о решении членов аукционной комиссии:</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Идентификационный номер</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Наименование / ИНН участника аукциона</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Минимальное предложение о цене контракта, сделанное участником аукциона</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Ф.И.О. члена аукционной комиссии</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ind w:right="-157" w:hanging="0"/>
              <w:rPr>
                <w:sz w:val="20"/>
                <w:szCs w:val="20"/>
              </w:rPr>
            </w:pPr>
            <w:r>
              <w:rPr>
                <w:rFonts w:eastAsia="Times New Roman"/>
                <w:sz w:val="20"/>
                <w:szCs w:val="20"/>
              </w:rPr>
              <w:t xml:space="preserve">Решение </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EA-46063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"КОМПАНИЯ "ПСК-ЮГ" / 2320181590</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10 148 989,88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Еремий Марианна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EA-46063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"КОМПАНИЯ "ПСК-ЮГ" / 2320181590</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10 148 989,88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Пацюк Юрий Александрович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EA-46063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"КОМПАНИЯ "ПСК-ЮГ" / 2320181590</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10 148 989,88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Рязанцев Алексей Юрьевич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EA-46063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"КОМПАНИЯ "ПСК-ЮГ" / 2320181590</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10 148 989,88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Щенева Екатерина Александровна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EA-45982</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"ОРИОН" / 5407489017</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10 224 028,73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Еремий Марианна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EA-45982</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"ОРИОН" / 5407489017</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10 224 028,73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Пацюк Юрий Александрович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EA-45982</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"ОРИОН" / 5407489017</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10 224 028,73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Рязанцев Алексей Юрьевич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EA-45982</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"ОРИОН" / 5407489017</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10 224 028,73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Щенева Екатерина Александровна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Не 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EA-46043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"ВИНТАЖ" / 2320236986</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11 274 572,63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Еремий Марианна Викторовна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EA-46043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"ВИНТАЖ" / 2320236986</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11 274 572,63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Пацюк Юрий Александрович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EA-46043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"ВИНТАЖ" / 2320236986</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11 274 572,63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Рязанцев Алексей Юрьевич</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r>
        <w:trPr/>
        <w:tc>
          <w:tcPr>
            <w:tcW w:w="2832"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lang w:val="en-US"/>
              </w:rPr>
            </w:pPr>
            <w:r>
              <w:rPr>
                <w:sz w:val="20"/>
                <w:szCs w:val="20"/>
                <w:lang w:val="en-US"/>
              </w:rPr>
              <w:t>EA-46043</w:t>
            </w:r>
          </w:p>
        </w:tc>
        <w:tc>
          <w:tcPr>
            <w:tcW w:w="1687"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Normal"/>
              <w:rPr>
                <w:sz w:val="20"/>
                <w:szCs w:val="20"/>
                <w:lang w:val="en-US"/>
              </w:rPr>
            </w:pPr>
            <w:r>
              <w:rPr>
                <w:sz w:val="20"/>
                <w:szCs w:val="20"/>
                <w:lang w:val="en-US"/>
              </w:rPr>
              <w:t>ОБЩЕСТВО С ОГРАНИЧЕННОЙ ОТВЕТСТВЕННОСТЬЮ "ВИНТАЖ" / 2320236986</w:t>
            </w:r>
          </w:p>
        </w:tc>
        <w:tc>
          <w:tcPr>
            <w:tcW w:w="1808"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11 274 572,63 руб.</w:t>
            </w:r>
          </w:p>
        </w:tc>
        <w:tc>
          <w:tcPr>
            <w:tcW w:w="1909"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Щенева Екатерина Александровна</w:t>
            </w:r>
          </w:p>
        </w:tc>
        <w:tc>
          <w:tcPr>
            <w:tcW w:w="1741" w:type="dxa"/>
            <w:tcBorders>
              <w:top w:val="single" w:sz="2" w:space="0" w:color="000001"/>
              <w:left w:val="single" w:sz="2" w:space="0" w:color="000001"/>
              <w:bottom w:val="single" w:sz="2" w:space="0" w:color="000001"/>
              <w:right w:val="single" w:sz="2" w:space="0" w:color="000001"/>
            </w:tcBorders>
            <w:shd w:color="auto" w:fill="auto" w:val="clear"/>
            <w:tcMar>
              <w:left w:w="0" w:type="dxa"/>
            </w:tcMar>
          </w:tcPr>
          <w:p>
            <w:pPr>
              <w:pStyle w:val="Style23"/>
              <w:rPr>
                <w:sz w:val="20"/>
                <w:szCs w:val="20"/>
              </w:rPr>
            </w:pPr>
            <w:r>
              <w:rPr>
                <w:sz w:val="20"/>
                <w:szCs w:val="20"/>
                <w:lang w:val="en-US"/>
              </w:rPr>
              <w:t>Соответствует</w:t>
            </w:r>
          </w:p>
        </w:tc>
      </w:tr>
    </w:tbl>
    <w:p>
      <w:pPr>
        <w:pStyle w:val="Normal"/>
        <w:jc w:val="both"/>
        <w:rPr>
          <w:rFonts w:eastAsia="Times New Roman"/>
          <w:sz w:val="20"/>
          <w:szCs w:val="20"/>
          <w:lang w:val="en-US"/>
        </w:rPr>
      </w:pPr>
      <w:r>
        <w:rPr>
          <w:rFonts w:eastAsia="Times New Roman"/>
          <w:sz w:val="20"/>
          <w:szCs w:val="20"/>
          <w:lang w:val="en-US"/>
        </w:rPr>
      </w:r>
    </w:p>
    <w:p>
      <w:pPr>
        <w:pStyle w:val="Normal"/>
        <w:jc w:val="both"/>
        <w:rPr/>
      </w:pPr>
      <w:r>
        <w:rPr>
          <w:rFonts w:eastAsia="Times New Roman"/>
          <w:sz w:val="20"/>
          <w:szCs w:val="20"/>
        </w:rPr>
        <w:t>В результате рассмотрения вторых частей заявок победителем электронного аукциона признается ОБЩЕСТВО С ОГРАНИЧЕННОЙ ОТВЕТСТВЕННОСТЬЮ "КОМПАНИЯ "ПСК-ЮГ", предложивший цену контракта 10 148 989,88 руб.</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 основании рассмотрения вторых частей заявок на участие в электронном аукционе, а также в соответствии с ч. 10 ст. 69 Федерального закона от 05.04.2013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ОБЩЕСТВО С ОГРАНИЧЕННОЙ ОТВЕТСТВЕННОСТЬЮ "КОМПАНИЯ "ПСК-ЮГ", который предложил наиболее низкую цену контракта и заявка на участие в электронном аукционе которого соответствует требованиям, установленным документацией об электронном аукционе.</w:t>
      </w:r>
    </w:p>
    <w:p>
      <w:pPr>
        <w:pStyle w:val="Normal"/>
        <w:jc w:val="both"/>
        <w:rPr>
          <w:rFonts w:eastAsia="Times New Roman"/>
          <w:sz w:val="20"/>
          <w:szCs w:val="20"/>
        </w:rPr>
      </w:pPr>
      <w:r>
        <w:rPr>
          <w:rFonts w:eastAsia="Times New Roman"/>
          <w:sz w:val="20"/>
          <w:szCs w:val="20"/>
        </w:rPr>
      </w:r>
    </w:p>
    <w:p>
      <w:pPr>
        <w:pStyle w:val="Normal"/>
        <w:jc w:val="both"/>
        <w:rPr/>
      </w:pPr>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jc w:val="both"/>
        <w:rPr>
          <w:rFonts w:eastAsia="Times New Roman"/>
          <w:sz w:val="20"/>
          <w:szCs w:val="20"/>
        </w:rPr>
      </w:pPr>
      <w:r>
        <w:rPr>
          <w:rFonts w:eastAsia="Times New Roman"/>
          <w:sz w:val="20"/>
          <w:szCs w:val="20"/>
        </w:rPr>
      </w:r>
    </w:p>
    <w:p>
      <w:pPr>
        <w:pStyle w:val="Normal"/>
        <w:rPr/>
      </w:pPr>
      <w:r>
        <w:rPr>
          <w:rFonts w:eastAsia="Times New Roman"/>
          <w:sz w:val="20"/>
          <w:szCs w:val="20"/>
        </w:rPr>
        <w:t>Подписи</w:t>
      </w:r>
    </w:p>
    <w:p>
      <w:pPr>
        <w:pStyle w:val="Normal"/>
        <w:rPr>
          <w:rFonts w:eastAsia="Times New Roman"/>
          <w:sz w:val="20"/>
          <w:szCs w:val="20"/>
        </w:rPr>
      </w:pPr>
      <w:r>
        <w:rPr>
          <w:rFonts w:eastAsia="Times New Roman"/>
          <w:sz w:val="20"/>
          <w:szCs w:val="20"/>
        </w:rPr>
      </w:r>
    </w:p>
    <w:tbl>
      <w:tblPr>
        <w:tblW w:w="9922" w:type="dxa"/>
        <w:jc w:val="left"/>
        <w:tblInd w:w="-55" w:type="dxa"/>
        <w:tblCellMar>
          <w:top w:w="55" w:type="dxa"/>
          <w:left w:w="55" w:type="dxa"/>
          <w:bottom w:w="55" w:type="dxa"/>
          <w:right w:w="55" w:type="dxa"/>
        </w:tblCellMar>
        <w:tblLook w:firstRow="1" w:noVBand="1" w:lastRow="0" w:firstColumn="1" w:lastColumn="0" w:noHBand="0" w:val="04a0"/>
      </w:tblPr>
      <w:tblGrid>
        <w:gridCol w:w="3307"/>
        <w:gridCol w:w="3301"/>
        <w:gridCol w:w="3314"/>
      </w:tblGrid>
      <w:tr>
        <w:trPr/>
        <w:tc>
          <w:tcPr>
            <w:tcW w:w="3307" w:type="dxa"/>
            <w:tcBorders/>
            <w:shd w:color="auto" w:fill="auto" w:val="clear"/>
            <w:vAlign w:val="bottom"/>
          </w:tcPr>
          <w:p>
            <w:pPr>
              <w:pStyle w:val="Style23"/>
              <w:rPr/>
            </w:pPr>
            <w:r>
              <w:rPr>
                <w:rFonts w:eastAsia="Times New Roman"/>
                <w:sz w:val="20"/>
                <w:szCs w:val="20"/>
                <w:lang w:val="en-US"/>
              </w:rPr>
              <w:t>Председатель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Еремий Марианна Викторовна</w:t>
            </w:r>
          </w:p>
        </w:tc>
      </w:tr>
      <w:tr>
        <w:trPr/>
        <w:tc>
          <w:tcPr>
            <w:tcW w:w="3307" w:type="dxa"/>
            <w:tcBorders/>
            <w:shd w:color="auto" w:fill="auto" w:val="clear"/>
            <w:vAlign w:val="bottom"/>
          </w:tcPr>
          <w:p>
            <w:pPr>
              <w:pStyle w:val="Style23"/>
              <w:rPr/>
            </w:pPr>
            <w:r>
              <w:rPr>
                <w:rFonts w:eastAsia="Times New Roman"/>
                <w:sz w:val="20"/>
                <w:szCs w:val="20"/>
                <w:lang w:val="en-US"/>
              </w:rPr>
              <w:t>Зам. председателя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Пацюк Юрий Александрович</w:t>
            </w:r>
          </w:p>
        </w:tc>
      </w:tr>
      <w:tr>
        <w:trPr/>
        <w:tc>
          <w:tcPr>
            <w:tcW w:w="3307" w:type="dxa"/>
            <w:tcBorders/>
            <w:shd w:color="auto" w:fill="auto" w:val="clear"/>
            <w:vAlign w:val="bottom"/>
          </w:tcPr>
          <w:p>
            <w:pPr>
              <w:pStyle w:val="Style23"/>
              <w:rPr/>
            </w:pPr>
            <w:r>
              <w:rPr>
                <w:rFonts w:eastAsia="Times New Roman"/>
                <w:sz w:val="20"/>
                <w:szCs w:val="20"/>
                <w:lang w:val="en-US"/>
              </w:rPr>
              <w:t>Член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Рязанцев Алексей Юрьевич</w:t>
            </w:r>
          </w:p>
        </w:tc>
      </w:tr>
      <w:tr>
        <w:trPr/>
        <w:tc>
          <w:tcPr>
            <w:tcW w:w="3307" w:type="dxa"/>
            <w:tcBorders/>
            <w:shd w:color="auto" w:fill="auto" w:val="clear"/>
            <w:vAlign w:val="bottom"/>
          </w:tcPr>
          <w:p>
            <w:pPr>
              <w:pStyle w:val="Style23"/>
              <w:rPr/>
            </w:pPr>
            <w:r>
              <w:rPr>
                <w:rFonts w:eastAsia="Times New Roman"/>
                <w:sz w:val="20"/>
                <w:szCs w:val="20"/>
                <w:lang w:val="en-US"/>
              </w:rPr>
              <w:t>Член комиссии</w:t>
            </w:r>
          </w:p>
        </w:tc>
        <w:tc>
          <w:tcPr>
            <w:tcW w:w="3301" w:type="dxa"/>
            <w:tcBorders/>
            <w:shd w:color="auto" w:fill="auto" w:val="clear"/>
          </w:tcPr>
          <w:p>
            <w:pPr>
              <w:pStyle w:val="Style23"/>
              <w:pBdr>
                <w:bottom w:val="single" w:sz="8" w:space="2" w:color="000001"/>
              </w:pBdr>
              <w:rPr>
                <w:sz w:val="20"/>
                <w:szCs w:val="20"/>
                <w:lang w:val="en-US"/>
              </w:rPr>
            </w:pPr>
            <w:r>
              <w:rPr>
                <w:sz w:val="20"/>
                <w:szCs w:val="20"/>
                <w:lang w:val="en-US"/>
              </w:rPr>
            </w:r>
          </w:p>
        </w:tc>
        <w:tc>
          <w:tcPr>
            <w:tcW w:w="3314" w:type="dxa"/>
            <w:tcBorders/>
            <w:shd w:color="auto" w:fill="auto" w:val="clear"/>
            <w:vAlign w:val="bottom"/>
          </w:tcPr>
          <w:p>
            <w:pPr>
              <w:pStyle w:val="Style23"/>
              <w:rPr/>
            </w:pPr>
            <w:r>
              <w:rPr>
                <w:sz w:val="20"/>
                <w:szCs w:val="20"/>
                <w:lang w:val="en-US"/>
              </w:rPr>
              <w:t>Щенева Екатерина Александровна</w:t>
            </w:r>
          </w:p>
        </w:tc>
      </w:tr>
    </w:tbl>
    <w:sectPr>
      <w:type w:val="nextPage"/>
      <w:pgSz w:w="11906" w:h="16838"/>
      <w:pgMar w:left="1418" w:right="566" w:header="0" w:top="1134" w:footer="0" w:bottom="1134" w:gutter="0"/>
      <w:pgNumType w:fmt="decimal"/>
      <w:formProt w:val="false"/>
      <w:textDirection w:val="lrTb"/>
      <w:docGrid w:type="default" w:linePitch="360" w:charSpace="429496094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eastAsia="" w:eastAsiaTheme="minorEastAsia" w:ascii="Times New Roman" w:hAnsi="Times New Roman" w:cs="Times New Roman"/>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paragraph" w:styleId="Style17">
    <w:name w:val="Заголовок"/>
    <w:basedOn w:val="Normal"/>
    <w:next w:val="Style18"/>
    <w:qFormat/>
    <w:pPr>
      <w:keepNext w:val="true"/>
      <w:spacing w:before="240" w:after="120"/>
    </w:pPr>
    <w:rPr>
      <w:rFonts w:ascii="Liberation Sans" w:hAnsi="Liberation Sans" w:eastAsia="Microsoft YaHei" w:cs="Arial Unicode MS"/>
      <w:sz w:val="28"/>
      <w:szCs w:val="28"/>
    </w:rPr>
  </w:style>
  <w:style w:type="paragraph" w:styleId="Style18">
    <w:name w:val="Body Text"/>
    <w:basedOn w:val="Normal"/>
    <w:pPr>
      <w:spacing w:lineRule="auto" w:line="288" w:before="0" w:after="140"/>
    </w:pPr>
    <w:rPr/>
  </w:style>
  <w:style w:type="paragraph" w:styleId="Style19">
    <w:name w:val="List"/>
    <w:basedOn w:val="Style18"/>
    <w:pPr/>
    <w:rPr>
      <w:rFonts w:cs="Noto Sans Devanagari"/>
    </w:rPr>
  </w:style>
  <w:style w:type="paragraph" w:styleId="Style20">
    <w:name w:val="Caption"/>
    <w:basedOn w:val="Normal"/>
    <w:qFormat/>
    <w:pPr>
      <w:suppressLineNumbers/>
      <w:spacing w:before="120" w:after="120"/>
    </w:pPr>
    <w:rPr>
      <w:rFonts w:cs="Arial Unicode MS"/>
      <w:i/>
      <w:iCs/>
      <w:sz w:val="24"/>
      <w:szCs w:val="24"/>
    </w:rPr>
  </w:style>
  <w:style w:type="paragraph" w:styleId="Style21">
    <w:name w:val="Указатель"/>
    <w:basedOn w:val="Normal"/>
    <w:qFormat/>
    <w:pPr>
      <w:suppressLineNumbers/>
    </w:pPr>
    <w:rPr>
      <w:rFonts w:cs="Arial Unicode MS"/>
    </w:rPr>
  </w:style>
  <w:style w:type="paragraph" w:styleId="Style22">
    <w:name w:val="Title"/>
    <w:basedOn w:val="Normal"/>
    <w:next w:val="Style18"/>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23" w:customStyle="1">
    <w:name w:val="Содержимое таблицы"/>
    <w:basedOn w:val="Normal"/>
    <w:qFormat/>
    <w:pPr/>
    <w:rPr/>
  </w:style>
  <w:style w:type="paragraph" w:styleId="Style24" w:customStyle="1">
    <w:name w:val="Заголовок таблицы"/>
    <w:basedOn w:val="Style23"/>
    <w:qFormat/>
    <w:pPr/>
    <w:rPr/>
  </w:style>
  <w:style w:type="paragraph" w:styleId="DocumentMap" w:customStyle="1">
    <w:name w:val="DocumentMap"/>
    <w:qFormat/>
    <w:pPr>
      <w:widowControl/>
      <w:bidi w:val="0"/>
      <w:jc w:val="left"/>
    </w:pPr>
    <w:rPr>
      <w:rFonts w:ascii="Times New Roman" w:hAnsi="Times New Roman" w:eastAsia="Times New Roman" w:cs="Times New Roman"/>
      <w:color w:val="00000A"/>
      <w:kern w:val="0"/>
      <w:sz w:val="24"/>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LibreOffice/6.3.0.4$Windows_X86_64 LibreOffice_project/057fc023c990d676a43019934386b85b21a9ee99</Application>
  <Pages>2</Pages>
  <Words>307</Words>
  <Characters>2849</Characters>
  <CharactersWithSpaces>3094</CharactersWithSpaces>
  <Paragraphs>67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2020-01-20T14:42:00Z</dcterms:created>
  <dc:creator>Ларий Дарья Григорьевна</dc:creator>
  <dc:description/>
  <dc:language>ru-RU</dc:language>
  <cp:lastModifiedBy/>
  <dcterms:modified xsi:type="dcterms:W3CDTF">2020-01-20T17:43:00Z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