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keepNext/>
        <w:numPr>
          <w:ilvl w:val="0"/>
          <w:numId w:val="1"/>
        </w:numPr>
        <w:tabs>
          <w:tab w:leader="none" w:pos="0" w:val="left"/>
        </w:tabs>
        <w:spacing w:after="0" w:before="0" w:line="360" w:lineRule="auto"/>
        <w:ind w:hanging="0" w:left="0" w:right="-28"/>
        <w:contextualSpacing w:val="false"/>
        <w:jc w:val="center"/>
      </w:pPr>
      <w:bookmarkStart w:id="0" w:name="_GoBack"/>
      <w:bookmarkEnd w:id="0"/>
      <w:r>
        <w:rPr>
          <w:rFonts w:ascii="Times New Roman" w:eastAsia="Times New Roman" w:hAnsi="Times New Roman"/>
          <w:b/>
          <w:bCs/>
          <w:color w:val="000000"/>
          <w:spacing w:val="20"/>
          <w:sz w:val="20"/>
          <w:szCs w:val="20"/>
          <w:lang w:eastAsia="ru-RU"/>
        </w:rPr>
        <w:t>ПРОТОКОЛ № 03.1-4/231</w:t>
      </w:r>
    </w:p>
    <w:p>
      <w:pPr>
        <w:pStyle w:val="style0"/>
        <w:spacing w:after="0" w:before="0" w:line="100" w:lineRule="atLeast"/>
        <w:ind w:hanging="0" w:left="0" w:right="-1"/>
        <w:contextualSpacing w:val="false"/>
        <w:jc w:val="center"/>
      </w:pP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рассмотрения единственной заявки на участие в аукционе в электронной форме </w:t>
      </w:r>
    </w:p>
    <w:p>
      <w:pPr>
        <w:pStyle w:val="style25"/>
        <w:spacing w:after="0" w:before="0" w:line="100" w:lineRule="atLeast"/>
        <w:ind w:hanging="0" w:left="0" w:right="-1"/>
        <w:contextualSpacing w:val="false"/>
        <w:jc w:val="center"/>
      </w:pP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Регистрационный номер 09-05/17843</w:t>
      </w:r>
    </w:p>
    <w:p>
      <w:pPr>
        <w:pStyle w:val="style0"/>
        <w:spacing w:after="0" w:before="0" w:line="100" w:lineRule="atLeast"/>
        <w:ind w:hanging="0" w:left="3828" w:right="5243"/>
        <w:contextualSpacing w:val="false"/>
        <w:jc w:val="both"/>
      </w:pPr>
      <w:r>
        <w:rPr/>
      </w:r>
    </w:p>
    <w:tbl>
      <w:tblPr>
        <w:jc w:val="left"/>
        <w:tblInd w:type="dxa" w:w="360"/>
        <w:tblBorders>
          <w:top w:val="none"/>
          <w:left w:val="none"/>
          <w:bottom w:color="00000A" w:space="0" w:sz="4" w:val="single"/>
          <w:insideH w:color="00000A" w:space="0" w:sz="4" w:val="singl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2013"/>
        <w:gridCol w:w="6236"/>
        <w:gridCol w:w="1986"/>
      </w:tblGrid>
      <w:tr>
        <w:trPr>
          <w:cantSplit w:val="false"/>
        </w:trPr>
        <w:tc>
          <w:tcPr>
            <w:tcW w:type="dxa" w:w="2013"/>
            <w:tcBorders>
              <w:top w:val="none"/>
              <w:left w:val="none"/>
              <w:bottom w:color="00000A" w:space="0" w:sz="4" w:val="single"/>
              <w:right w:val="none"/>
            </w:tcBorders>
            <w:shd w:fill="FFFFFF" w:val="clear"/>
            <w:vAlign w:val="bottom"/>
          </w:tcPr>
          <w:p>
            <w:pPr>
              <w:pStyle w:val="style30"/>
              <w:tabs>
                <w:tab w:leader="none" w:pos="567" w:val="left"/>
              </w:tabs>
              <w:spacing w:after="0" w:before="0" w:line="100" w:lineRule="atLeast"/>
              <w:ind w:hanging="0" w:left="0" w:right="0"/>
              <w:contextualSpacing w:val="false"/>
              <w:jc w:val="center"/>
            </w:pPr>
            <w:r>
              <w:rPr>
                <w:rFonts w:ascii="Times New Roman" w:cs="Times New Roman" w:hAnsi="Times New Roman"/>
                <w:color w:val="000000"/>
                <w:sz w:val="20"/>
                <w:szCs w:val="20"/>
                <w:lang w:eastAsia="ru-RU"/>
              </w:rPr>
              <w:t>14.07.2020</w:t>
            </w:r>
          </w:p>
        </w:tc>
        <w:tc>
          <w:tcPr>
            <w:tcW w:type="dxa" w:w="6236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0"/>
              <w:tabs>
                <w:tab w:leader="none" w:pos="567" w:val="left"/>
              </w:tabs>
              <w:spacing w:after="0" w:before="0" w:line="252" w:lineRule="auto"/>
              <w:ind w:hanging="0" w:left="0" w:right="0"/>
              <w:contextualSpacing w:val="false"/>
              <w:jc w:val="right"/>
            </w:pPr>
            <w:r>
              <w:rPr>
                <w:rFonts w:ascii="Times New Roman" w:cs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      </w:t>
            </w:r>
          </w:p>
        </w:tc>
        <w:tc>
          <w:tcPr>
            <w:tcW w:type="dxa" w:w="1986"/>
            <w:tcBorders>
              <w:top w:val="none"/>
              <w:left w:val="none"/>
              <w:bottom w:color="00000A" w:space="0" w:sz="4" w:val="singl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567" w:val="left"/>
              </w:tabs>
              <w:spacing w:after="0" w:before="0" w:line="252" w:lineRule="auto"/>
              <w:ind w:hanging="0" w:left="0" w:right="0"/>
              <w:contextualSpacing w:val="false"/>
              <w:jc w:val="right"/>
            </w:pPr>
            <w:r>
              <w:rPr>
                <w:rFonts w:ascii="Times New Roman" w:cs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Курская обл, Курск г</w:t>
            </w:r>
          </w:p>
        </w:tc>
      </w:tr>
      <w:tr>
        <w:trPr>
          <w:cantSplit w:val="false"/>
        </w:trPr>
        <w:tc>
          <w:tcPr>
            <w:tcW w:type="dxa" w:w="2013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30"/>
              <w:tabs>
                <w:tab w:leader="none" w:pos="567" w:val="left"/>
              </w:tabs>
              <w:spacing w:after="0" w:before="0" w:line="100" w:lineRule="atLeast"/>
              <w:ind w:hanging="0" w:left="0" w:right="0"/>
              <w:contextualSpacing w:val="false"/>
              <w:jc w:val="center"/>
            </w:pPr>
            <w:r>
              <w:rPr/>
            </w:r>
          </w:p>
        </w:tc>
        <w:tc>
          <w:tcPr>
            <w:tcW w:type="dxa" w:w="6236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0"/>
              <w:spacing w:after="0" w:before="0" w:line="252" w:lineRule="auto"/>
              <w:contextualSpacing w:val="false"/>
              <w:jc w:val="center"/>
            </w:pPr>
            <w:r>
              <w:rPr/>
            </w:r>
          </w:p>
        </w:tc>
        <w:tc>
          <w:tcPr>
            <w:tcW w:type="dxa" w:w="198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30"/>
              <w:tabs>
                <w:tab w:leader="none" w:pos="567" w:val="left"/>
              </w:tabs>
              <w:spacing w:after="60" w:before="60" w:line="100" w:lineRule="atLeast"/>
              <w:ind w:hanging="0" w:left="0" w:right="0"/>
              <w:contextualSpacing w:val="false"/>
              <w:jc w:val="center"/>
            </w:pPr>
            <w:r>
              <w:rPr/>
            </w:r>
          </w:p>
        </w:tc>
      </w:tr>
    </w:tbl>
    <w:p>
      <w:pPr>
        <w:pStyle w:val="style0"/>
        <w:widowControl w:val="false"/>
        <w:numPr>
          <w:ilvl w:val="0"/>
          <w:numId w:val="2"/>
        </w:numPr>
        <w:spacing w:after="0" w:before="60" w:line="100" w:lineRule="atLeast"/>
        <w:ind w:hanging="360" w:left="720" w:right="0"/>
        <w:contextualSpacing w:val="false"/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Организатор: Специализированная организация. ОБЛАСТНОЕ КАЗЕННОЕ УЧРЕЖДЕНИЕ «ЦЕНТР ЗАКУПОК КУРСКОЙ ОБЛАСТИ».</w:t>
      </w:r>
    </w:p>
    <w:p>
      <w:pPr>
        <w:pStyle w:val="style0"/>
        <w:widowControl w:val="false"/>
        <w:numPr>
          <w:ilvl w:val="0"/>
          <w:numId w:val="2"/>
        </w:numPr>
        <w:spacing w:after="0" w:before="60" w:line="100" w:lineRule="atLeast"/>
        <w:ind w:hanging="360" w:left="720" w:right="0"/>
        <w:contextualSpacing w:val="false"/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Заказчик(и): </w:t>
      </w:r>
    </w:p>
    <w:tbl>
      <w:tblPr>
        <w:jc w:val="left"/>
        <w:tblInd w:type="dxa" w:w="-25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88"/>
          <w:bottom w:type="dxa" w:w="0"/>
          <w:right w:type="dxa" w:w="108"/>
        </w:tblCellMar>
      </w:tblPr>
      <w:tblGrid>
        <w:gridCol w:w="8361"/>
        <w:gridCol w:w="1840"/>
      </w:tblGrid>
      <w:tr>
        <w:trPr>
          <w:tblHeader w:val="true"/>
          <w:cantSplit w:val="false"/>
        </w:trPr>
        <w:tc>
          <w:tcPr>
            <w:tcW w:type="dxa" w:w="836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  <w:jc w:val="center"/>
            </w:pPr>
            <w:r>
              <w:rPr>
                <w:rFonts w:ascii="Times New Roman" w:cs="Times New Roman" w:eastAsia="Calibri" w:hAnsi="Times New Roman"/>
                <w:b/>
                <w:color w:val="000000"/>
                <w:sz w:val="20"/>
                <w:szCs w:val="20"/>
                <w:lang w:eastAsia="ru-RU"/>
              </w:rPr>
              <w:t>Наименование заказчика</w:t>
            </w:r>
          </w:p>
        </w:tc>
        <w:tc>
          <w:tcPr>
            <w:tcW w:type="dxa" w:w="18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  <w:jc w:val="center"/>
            </w:pPr>
            <w:r>
              <w:rPr>
                <w:rFonts w:ascii="Times New Roman" w:cs="Times New Roman" w:eastAsia="Calibri" w:hAnsi="Times New Roman"/>
                <w:b/>
                <w:color w:val="000000"/>
                <w:sz w:val="20"/>
                <w:szCs w:val="20"/>
                <w:lang w:eastAsia="ru-RU"/>
              </w:rPr>
              <w:t>ИНН заказчика</w:t>
            </w:r>
          </w:p>
        </w:tc>
      </w:tr>
      <w:tr>
        <w:trPr>
          <w:cantSplit w:val="false"/>
        </w:trPr>
        <w:tc>
          <w:tcPr>
            <w:tcW w:type="dxa" w:w="836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ind w:hanging="0" w:left="0" w:right="0"/>
              <w:contextualSpacing w:val="false"/>
              <w:jc w:val="both"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0"/>
                <w:szCs w:val="20"/>
                <w:u w:val="none"/>
                <w:lang w:val="en-US"/>
              </w:rPr>
              <w:t>Областн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0"/>
                <w:szCs w:val="20"/>
                <w:u w:val="none"/>
                <w:lang w:val="ru-RU"/>
              </w:rPr>
              <w:t>ого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0"/>
                <w:szCs w:val="20"/>
                <w:u w:val="none"/>
                <w:lang w:val="en-US"/>
              </w:rPr>
              <w:t xml:space="preserve"> бюджетн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0"/>
                <w:szCs w:val="20"/>
                <w:u w:val="none"/>
                <w:lang w:val="ru-RU"/>
              </w:rPr>
              <w:t>ого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0"/>
                <w:szCs w:val="20"/>
                <w:u w:val="none"/>
                <w:lang w:val="en-US"/>
              </w:rPr>
              <w:t xml:space="preserve"> учреждени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0"/>
                <w:szCs w:val="20"/>
                <w:u w:val="none"/>
                <w:lang w:val="ru-RU"/>
              </w:rPr>
              <w:t>я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0"/>
                <w:szCs w:val="20"/>
                <w:u w:val="none"/>
                <w:lang w:val="en-US"/>
              </w:rPr>
              <w:t xml:space="preserve"> здравоохранения «Курская городская больница № 3» комитета здравоохранения Курской области</w:t>
            </w:r>
          </w:p>
        </w:tc>
        <w:tc>
          <w:tcPr>
            <w:tcW w:type="dxa" w:w="184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35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4630023766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</w:tr>
    </w:tbl>
    <w:p>
      <w:pPr>
        <w:pStyle w:val="style0"/>
        <w:widowControl w:val="false"/>
        <w:numPr>
          <w:ilvl w:val="0"/>
          <w:numId w:val="2"/>
        </w:numPr>
        <w:spacing w:after="0" w:before="60" w:line="100" w:lineRule="atLeast"/>
        <w:ind w:hanging="360" w:left="720" w:right="0"/>
        <w:contextualSpacing w:val="false"/>
      </w:pPr>
      <w:r>
        <w:rPr>
          <w:rFonts w:ascii="Times New Roman" w:cs="Times New Roman" w:eastAsia="Times New Roman" w:hAnsi="Times New Roman"/>
          <w:color w:val="000000"/>
          <w:sz w:val="20"/>
          <w:szCs w:val="20"/>
          <w:lang w:eastAsia="ru-RU"/>
        </w:rPr>
        <w:t>Дата публикации извещения: 03.07.2020 08:30.</w:t>
      </w:r>
    </w:p>
    <w:p>
      <w:pPr>
        <w:pStyle w:val="style0"/>
        <w:widowControl w:val="false"/>
        <w:numPr>
          <w:ilvl w:val="0"/>
          <w:numId w:val="2"/>
        </w:numPr>
        <w:spacing w:after="0" w:before="60" w:line="100" w:lineRule="atLeast"/>
        <w:ind w:hanging="360" w:left="720" w:right="0"/>
        <w:contextualSpacing w:val="false"/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Редакция извещения: Версия: 1 Дата редакции: 03.07.2020 08:30.</w:t>
      </w:r>
    </w:p>
    <w:p>
      <w:pPr>
        <w:pStyle w:val="style0"/>
        <w:widowControl w:val="false"/>
        <w:numPr>
          <w:ilvl w:val="0"/>
          <w:numId w:val="2"/>
        </w:numPr>
        <w:spacing w:after="0" w:before="60" w:line="100" w:lineRule="atLeast"/>
        <w:ind w:hanging="360" w:left="720" w:right="0"/>
        <w:contextualSpacing w:val="false"/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Номер закупки: </w:t>
      </w:r>
      <w:hyperlink r:id="rId2">
        <w:r>
          <w:rPr>
            <w:rStyle w:val="style21"/>
            <w:rStyle w:val="style21"/>
            <w:rFonts w:ascii="Times New Roman" w:eastAsia="Times New Roman" w:hAnsi="Times New Roman"/>
            <w:color w:val="000000"/>
            <w:sz w:val="20"/>
            <w:szCs w:val="20"/>
            <w:lang w:eastAsia="ru-RU"/>
          </w:rPr>
          <w:t>0744200000220000512</w:t>
        </w:r>
      </w:hyperlink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.</w:t>
      </w:r>
    </w:p>
    <w:p>
      <w:pPr>
        <w:pStyle w:val="style0"/>
        <w:widowControl w:val="false"/>
        <w:numPr>
          <w:ilvl w:val="0"/>
          <w:numId w:val="2"/>
        </w:numPr>
        <w:spacing w:after="0" w:before="60" w:line="100" w:lineRule="atLeast"/>
        <w:contextualSpacing w:val="false"/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Идентификационный код закупки: 202462904067946320100101490013250244.</w:t>
      </w:r>
    </w:p>
    <w:p>
      <w:pPr>
        <w:pStyle w:val="style0"/>
        <w:widowControl w:val="false"/>
        <w:numPr>
          <w:ilvl w:val="0"/>
          <w:numId w:val="2"/>
        </w:numPr>
        <w:spacing w:after="0" w:before="60" w:line="100" w:lineRule="atLeast"/>
        <w:ind w:hanging="360" w:left="720" w:right="0"/>
        <w:contextualSpacing w:val="false"/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Адрес электронной площадки в сети Интернет: https://gz.lot-online.ru/.</w:t>
      </w:r>
    </w:p>
    <w:p>
      <w:pPr>
        <w:pStyle w:val="style0"/>
        <w:widowControl w:val="false"/>
        <w:numPr>
          <w:ilvl w:val="0"/>
          <w:numId w:val="2"/>
        </w:numPr>
        <w:spacing w:after="0" w:before="60" w:line="100" w:lineRule="atLeast"/>
        <w:ind w:hanging="360" w:left="720" w:right="0"/>
        <w:contextualSpacing w:val="false"/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Наименование объекта закупки: Поставка расходных материалов для клинико-диагностической лаборатории.</w:t>
      </w:r>
    </w:p>
    <w:p>
      <w:pPr>
        <w:pStyle w:val="style0"/>
        <w:widowControl w:val="false"/>
        <w:numPr>
          <w:ilvl w:val="0"/>
          <w:numId w:val="2"/>
        </w:numPr>
        <w:spacing w:after="0" w:before="60" w:line="100" w:lineRule="atLeast"/>
        <w:ind w:hanging="360" w:left="720" w:right="0"/>
        <w:contextualSpacing w:val="false"/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Начальная (максимальная) цена контракта, руб.: 16 632,00. </w:t>
      </w:r>
    </w:p>
    <w:p>
      <w:pPr>
        <w:pStyle w:val="style0"/>
        <w:keepNext/>
        <w:widowControl w:val="false"/>
        <w:numPr>
          <w:ilvl w:val="0"/>
          <w:numId w:val="2"/>
        </w:numPr>
        <w:spacing w:after="0" w:before="60" w:line="100" w:lineRule="atLeast"/>
        <w:ind w:hanging="360" w:left="720" w:right="0"/>
        <w:contextualSpacing w:val="false"/>
      </w:pPr>
      <w:r>
        <w:rPr>
          <w:rFonts w:ascii="Times New Roman" w:cs="Calibri" w:hAnsi="Times New Roman"/>
          <w:color w:val="000000"/>
          <w:sz w:val="20"/>
          <w:szCs w:val="20"/>
        </w:rPr>
        <w:t xml:space="preserve">Наименование аукционной комиссии: </w:t>
      </w:r>
      <w:r>
        <w:rPr>
          <w:rFonts w:ascii="Times New Roman" w:hAnsi="Times New Roman"/>
          <w:color w:val="000000"/>
          <w:sz w:val="20"/>
          <w:szCs w:val="20"/>
        </w:rPr>
        <w:t>Аукционная комиссия по заявке 09-05/17843.</w:t>
      </w:r>
    </w:p>
    <w:p>
      <w:pPr>
        <w:pStyle w:val="style0"/>
        <w:keepNext/>
        <w:widowControl w:val="false"/>
        <w:numPr>
          <w:ilvl w:val="0"/>
          <w:numId w:val="2"/>
        </w:numPr>
        <w:spacing w:after="0" w:before="60" w:line="100" w:lineRule="atLeast"/>
        <w:ind w:hanging="360" w:left="720" w:right="0"/>
        <w:contextualSpacing w:val="false"/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Состав аукционной комиссии:</w:t>
      </w:r>
    </w:p>
    <w:tbl>
      <w:tblPr>
        <w:jc w:val="left"/>
        <w:tblInd w:type="dxa" w:w="-25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88"/>
          <w:bottom w:type="dxa" w:w="0"/>
          <w:right w:type="dxa" w:w="108"/>
        </w:tblCellMar>
      </w:tblPr>
      <w:tblGrid>
        <w:gridCol w:w="1687"/>
        <w:gridCol w:w="4960"/>
        <w:gridCol w:w="1854"/>
        <w:gridCol w:w="1699"/>
      </w:tblGrid>
      <w:tr>
        <w:trPr>
          <w:tblHeader w:val="true"/>
          <w:cantSplit w:val="false"/>
        </w:trPr>
        <w:tc>
          <w:tcPr>
            <w:tcW w:type="dxa" w:w="168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type="dxa" w:w="496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type="dxa" w:w="185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type="dxa" w:w="16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168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type="dxa" w:w="496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Временно исполняющий обязанности директора областного казенного учреждения «Центр закупок Курской области»</w:t>
            </w:r>
          </w:p>
        </w:tc>
        <w:tc>
          <w:tcPr>
            <w:tcW w:type="dxa" w:w="185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Полторацкий Алексей Николаевич</w:t>
            </w:r>
          </w:p>
        </w:tc>
        <w:tc>
          <w:tcPr>
            <w:tcW w:type="dxa" w:w="16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168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type="dxa" w:w="496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Начальник отдела закупок в сфере здравоохранения областного казенного учреждения «Центр закупок Курской области»</w:t>
            </w:r>
          </w:p>
        </w:tc>
        <w:tc>
          <w:tcPr>
            <w:tcW w:type="dxa" w:w="185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Меркель Светлана Леоновна</w:t>
            </w:r>
          </w:p>
        </w:tc>
        <w:tc>
          <w:tcPr>
            <w:tcW w:type="dxa" w:w="16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168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type="dxa" w:w="496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spacing w:after="200" w:before="0"/>
              <w:contextualSpacing w:val="false"/>
              <w:jc w:val="both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color w:val="00000A"/>
                <w:sz w:val="20"/>
                <w:szCs w:val="20"/>
                <w:u w:val="none"/>
                <w:lang w:bidi="ar-SA" w:eastAsia="zh-CN" w:val="en-US"/>
              </w:rPr>
              <w:t xml:space="preserve">Экономист </w:t>
            </w:r>
            <w:r>
              <w:rPr>
                <w:rFonts w:ascii="Times New Roman" w:cs="Times New Roman" w:eastAsia="Times New Roman" w:hAnsi="Times New Roman"/>
                <w:b w:val="false"/>
                <w:bCs w:val="false"/>
                <w:color w:val="00000A"/>
                <w:sz w:val="20"/>
                <w:szCs w:val="20"/>
                <w:u w:val="none"/>
                <w:lang w:bidi="ar-SA" w:eastAsia="zh-CN" w:val="ru-RU"/>
              </w:rPr>
              <w:t xml:space="preserve">ОБУЗ </w:t>
            </w:r>
            <w:r>
              <w:rPr>
                <w:rFonts w:ascii="Times New Roman" w:cs="Times New Roman" w:eastAsia="Times New Roman" w:hAnsi="Times New Roman"/>
                <w:b w:val="false"/>
                <w:bCs w:val="false"/>
                <w:color w:val="00000A"/>
                <w:sz w:val="20"/>
                <w:szCs w:val="20"/>
                <w:u w:val="none"/>
                <w:lang w:bidi="ar-SA" w:eastAsia="zh-CN" w:val="en-US"/>
              </w:rPr>
              <w:t>''Курская областная детская больница № 2'' комитета здравоохранения Курской области</w:t>
            </w:r>
          </w:p>
        </w:tc>
        <w:tc>
          <w:tcPr>
            <w:tcW w:type="dxa" w:w="185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spacing w:after="200" w:before="0"/>
              <w:contextualSpacing w:val="false"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Королев Николай Маркиянович </w:t>
            </w:r>
          </w:p>
        </w:tc>
        <w:tc>
          <w:tcPr>
            <w:tcW w:type="dxa" w:w="16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168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type="dxa" w:w="496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spacing w:after="200" w:before="0"/>
              <w:contextualSpacing w:val="false"/>
              <w:jc w:val="both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color w:val="00000A"/>
                <w:sz w:val="20"/>
                <w:szCs w:val="20"/>
                <w:u w:val="none"/>
                <w:lang w:bidi="ar-SA" w:eastAsia="zh-CN" w:val="en-US"/>
              </w:rPr>
              <w:t xml:space="preserve">Экономист </w:t>
            </w:r>
            <w:r>
              <w:rPr>
                <w:rFonts w:ascii="Times New Roman" w:cs="Times New Roman" w:eastAsia="Times New Roman" w:hAnsi="Times New Roman"/>
                <w:b w:val="false"/>
                <w:bCs w:val="false"/>
                <w:color w:val="00000A"/>
                <w:sz w:val="20"/>
                <w:szCs w:val="20"/>
                <w:u w:val="none"/>
                <w:lang w:bidi="ar-SA" w:eastAsia="zh-CN" w:val="ru-RU"/>
              </w:rPr>
              <w:t xml:space="preserve">ОБУЗ </w:t>
            </w:r>
            <w:r>
              <w:rPr>
                <w:rFonts w:ascii="Times New Roman" w:cs="Times New Roman" w:eastAsia="Times New Roman" w:hAnsi="Times New Roman"/>
                <w:b w:val="false"/>
                <w:bCs w:val="false"/>
                <w:color w:val="00000A"/>
                <w:sz w:val="20"/>
                <w:szCs w:val="20"/>
                <w:u w:val="none"/>
                <w:lang w:bidi="ar-SA" w:eastAsia="zh-CN" w:val="en-US"/>
              </w:rPr>
              <w:t>''Курская областная детская больница № 2'' комитета здравоохранения Курской области</w:t>
            </w:r>
          </w:p>
        </w:tc>
        <w:tc>
          <w:tcPr>
            <w:tcW w:type="dxa" w:w="185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spacing w:after="200" w:before="0"/>
              <w:contextualSpacing w:val="false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color w:val="00000A"/>
                <w:sz w:val="20"/>
                <w:szCs w:val="20"/>
                <w:u w:val="none"/>
                <w:lang w:bidi="ar-SA" w:eastAsia="zh-CN" w:val="en-US"/>
              </w:rPr>
              <w:t>Истомина Анна Владимировна</w:t>
            </w:r>
          </w:p>
        </w:tc>
        <w:tc>
          <w:tcPr>
            <w:tcW w:type="dxa" w:w="16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168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type="dxa" w:w="496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spacing w:after="200" w:before="0"/>
              <w:contextualSpacing w:val="false"/>
              <w:jc w:val="both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color w:val="00000A"/>
                <w:sz w:val="20"/>
                <w:szCs w:val="20"/>
                <w:u w:val="none"/>
                <w:lang w:bidi="ar-SA" w:eastAsia="zh-CN" w:val="en-US"/>
              </w:rPr>
              <w:t xml:space="preserve">Экономист </w:t>
            </w:r>
            <w:r>
              <w:rPr>
                <w:rFonts w:ascii="Times New Roman" w:cs="Times New Roman" w:eastAsia="Times New Roman" w:hAnsi="Times New Roman"/>
                <w:b w:val="false"/>
                <w:bCs w:val="false"/>
                <w:color w:val="00000A"/>
                <w:sz w:val="20"/>
                <w:szCs w:val="20"/>
                <w:u w:val="none"/>
                <w:lang w:bidi="ar-SA" w:eastAsia="zh-CN" w:val="ru-RU"/>
              </w:rPr>
              <w:t xml:space="preserve">ОБУЗ </w:t>
            </w:r>
            <w:r>
              <w:rPr>
                <w:rFonts w:ascii="Times New Roman" w:cs="Times New Roman" w:eastAsia="Times New Roman" w:hAnsi="Times New Roman"/>
                <w:b w:val="false"/>
                <w:bCs w:val="false"/>
                <w:color w:val="00000A"/>
                <w:sz w:val="20"/>
                <w:szCs w:val="20"/>
                <w:u w:val="none"/>
                <w:lang w:bidi="ar-SA" w:eastAsia="zh-CN" w:val="en-US"/>
              </w:rPr>
              <w:t>''Курская областная детская больница № 2'' комитета здравоохранения Курской области</w:t>
            </w:r>
          </w:p>
        </w:tc>
        <w:tc>
          <w:tcPr>
            <w:tcW w:type="dxa" w:w="185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spacing w:after="200" w:before="0"/>
              <w:contextualSpacing w:val="false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color w:val="000000"/>
                <w:sz w:val="20"/>
                <w:szCs w:val="20"/>
                <w:u w:val="none"/>
                <w:lang w:bidi="ar-SA" w:eastAsia="zh-CN" w:val="en-US"/>
              </w:rPr>
              <w:t xml:space="preserve">Филонова Анастасия Викторовна </w:t>
            </w:r>
          </w:p>
        </w:tc>
        <w:tc>
          <w:tcPr>
            <w:tcW w:type="dxa" w:w="16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1687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type="dxa" w:w="496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Консультант отдела закупок в сфере здравоохранения областного казенного учреждения «Центр закупок Курской области»</w:t>
            </w:r>
          </w:p>
        </w:tc>
        <w:tc>
          <w:tcPr>
            <w:tcW w:type="dxa" w:w="185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Шаталова Юлия Алексеевна</w:t>
            </w:r>
          </w:p>
        </w:tc>
        <w:tc>
          <w:tcPr>
            <w:tcW w:type="dxa" w:w="169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>
      <w:pPr>
        <w:pStyle w:val="style0"/>
        <w:widowControl w:val="false"/>
        <w:spacing w:after="0" w:before="60" w:line="100" w:lineRule="atLeast"/>
        <w:contextualSpacing w:val="false"/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Количество членов аукционной комиссии, присутствующих на заседании: 6. </w:t>
      </w:r>
    </w:p>
    <w:p>
      <w:pPr>
        <w:pStyle w:val="style0"/>
        <w:keepNext/>
        <w:widowControl w:val="false"/>
        <w:numPr>
          <w:ilvl w:val="0"/>
          <w:numId w:val="2"/>
        </w:numPr>
        <w:spacing w:after="0" w:before="60" w:line="100" w:lineRule="atLeast"/>
        <w:ind w:hanging="360" w:left="720" w:right="0"/>
        <w:contextualSpacing w:val="false"/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Предмет контракта:</w:t>
      </w:r>
    </w:p>
    <w:tbl>
      <w:tblPr>
        <w:jc w:val="left"/>
        <w:tblInd w:type="dxa" w:w="-25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88"/>
          <w:bottom w:type="dxa" w:w="0"/>
          <w:right w:type="dxa" w:w="108"/>
        </w:tblCellMar>
      </w:tblPr>
      <w:tblGrid>
        <w:gridCol w:w="1675"/>
        <w:gridCol w:w="1263"/>
        <w:gridCol w:w="3972"/>
        <w:gridCol w:w="913"/>
        <w:gridCol w:w="1088"/>
        <w:gridCol w:w="1290"/>
      </w:tblGrid>
      <w:tr>
        <w:trPr>
          <w:tblHeader w:val="true"/>
          <w:cantSplit w:val="false"/>
        </w:trPr>
        <w:tc>
          <w:tcPr>
            <w:tcW w:type="dxa" w:w="167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keepNext/>
              <w:widowControl w:val="false"/>
              <w:spacing w:after="0" w:before="60" w:line="100" w:lineRule="atLeast"/>
              <w:contextualSpacing w:val="false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Код по ОКПД2</w:t>
            </w:r>
          </w:p>
        </w:tc>
        <w:tc>
          <w:tcPr>
            <w:tcW w:type="dxa" w:w="126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keepNext/>
              <w:widowControl w:val="false"/>
              <w:spacing w:after="0" w:before="60" w:line="100" w:lineRule="atLeast"/>
              <w:contextualSpacing w:val="false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type="dxa" w:w="397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keepNext/>
              <w:widowControl w:val="false"/>
              <w:spacing w:after="0" w:before="60" w:line="100" w:lineRule="atLeast"/>
              <w:contextualSpacing w:val="false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Наименование товара, работы, услуги</w:t>
            </w:r>
          </w:p>
        </w:tc>
        <w:tc>
          <w:tcPr>
            <w:tcW w:type="dxa" w:w="91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keepNext/>
              <w:widowControl w:val="false"/>
              <w:spacing w:after="0" w:before="60" w:line="100" w:lineRule="atLeast"/>
              <w:contextualSpacing w:val="false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type="dxa" w:w="108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keepNext/>
              <w:widowControl w:val="false"/>
              <w:spacing w:after="0" w:before="60" w:line="100" w:lineRule="atLeast"/>
              <w:contextualSpacing w:val="false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Цена за ед.изм.</w:t>
            </w:r>
          </w:p>
        </w:tc>
        <w:tc>
          <w:tcPr>
            <w:tcW w:type="dxa" w:w="12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keepNext/>
              <w:widowControl w:val="false"/>
              <w:spacing w:after="0" w:before="60" w:line="100" w:lineRule="atLeast"/>
              <w:contextualSpacing w:val="false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Стоимость</w:t>
            </w:r>
          </w:p>
        </w:tc>
      </w:tr>
      <w:tr>
        <w:trPr>
          <w:cantSplit w:val="false"/>
        </w:trPr>
        <w:tc>
          <w:tcPr>
            <w:tcW w:type="dxa" w:w="167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  <w:jc w:val="center"/>
            </w:pPr>
            <w:r>
              <w:rPr>
                <w:rFonts w:ascii="Times New Roman" w:eastAsia="Times New Roman" w:hAnsi="Times New Roman"/>
                <w:b w:val="false"/>
                <w:bCs w:val="false"/>
                <w:color w:val="000000"/>
                <w:sz w:val="20"/>
                <w:szCs w:val="20"/>
                <w:lang w:eastAsia="ru-RU"/>
              </w:rPr>
              <w:t>32.50.50.190</w:t>
            </w:r>
          </w:p>
        </w:tc>
        <w:tc>
          <w:tcPr>
            <w:tcW w:type="dxa" w:w="126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</w:pPr>
            <w:r>
              <w:rPr>
                <w:rFonts w:ascii="Times New Roman" w:eastAsia="Times New Roman" w:hAnsi="Times New Roman"/>
                <w:b w:val="false"/>
                <w:bCs w:val="false"/>
                <w:color w:val="000000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type="dxa" w:w="397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  <w:jc w:val="center"/>
            </w:pPr>
            <w:r>
              <w:rPr>
                <w:rFonts w:ascii="Times New Roman" w:eastAsia="Times New Roman" w:hAnsi="Times New Roman"/>
                <w:b w:val="false"/>
                <w:bCs w:val="false"/>
                <w:color w:val="000000"/>
                <w:sz w:val="20"/>
                <w:szCs w:val="20"/>
                <w:lang w:eastAsia="ru-RU"/>
              </w:rPr>
              <w:t xml:space="preserve">Кюветы измерительные ДГВИ.36.000.050 с шариками силиконизированными </w:t>
            </w:r>
          </w:p>
        </w:tc>
        <w:tc>
          <w:tcPr>
            <w:tcW w:type="dxa" w:w="91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spacing w:after="200" w:before="0"/>
              <w:contextualSpacing w:val="false"/>
              <w:jc w:val="center"/>
            </w:pPr>
            <w:r>
              <w:rPr>
                <w:rFonts w:ascii="Times New Roman" w:hAnsi="Times New Roman"/>
                <w:b w:val="false"/>
                <w:bCs w:val="false"/>
                <w:sz w:val="20"/>
                <w:szCs w:val="20"/>
              </w:rPr>
              <w:t>2</w:t>
            </w:r>
          </w:p>
        </w:tc>
        <w:tc>
          <w:tcPr>
            <w:tcW w:type="dxa" w:w="108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spacing w:after="200" w:before="0"/>
              <w:contextualSpacing w:val="false"/>
              <w:jc w:val="center"/>
            </w:pPr>
            <w:r>
              <w:rPr>
                <w:rFonts w:ascii="Times New Roman" w:hAnsi="Times New Roman"/>
                <w:b w:val="false"/>
                <w:bCs w:val="false"/>
                <w:sz w:val="20"/>
                <w:szCs w:val="20"/>
              </w:rPr>
              <w:t>8316,00</w:t>
            </w:r>
          </w:p>
        </w:tc>
        <w:tc>
          <w:tcPr>
            <w:tcW w:type="dxa" w:w="12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spacing w:after="0" w:before="0"/>
              <w:contextualSpacing w:val="false"/>
              <w:jc w:val="center"/>
            </w:pPr>
            <w:r>
              <w:rPr>
                <w:rFonts w:ascii="Times New Roman" w:hAnsi="Times New Roman"/>
                <w:b w:val="false"/>
                <w:bCs w:val="false"/>
                <w:sz w:val="20"/>
                <w:szCs w:val="20"/>
              </w:rPr>
              <w:t>16 632,00</w:t>
            </w:r>
          </w:p>
        </w:tc>
      </w:tr>
      <w:tr>
        <w:trPr>
          <w:cantSplit w:val="false"/>
        </w:trPr>
        <w:tc>
          <w:tcPr>
            <w:tcW w:type="dxa" w:w="167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</w:pPr>
            <w:r>
              <w:rPr>
                <w:rFonts w:ascii="Times New Roman" w:eastAsia="Times New Roman" w:hAnsi="Times New Roman"/>
                <w:b w:val="false"/>
                <w:bCs w:val="false"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type="dxa" w:w="126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</w:pPr>
            <w:r>
              <w:rPr/>
            </w:r>
          </w:p>
        </w:tc>
        <w:tc>
          <w:tcPr>
            <w:tcW w:type="dxa" w:w="397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</w:pPr>
            <w:r>
              <w:rPr/>
            </w:r>
          </w:p>
        </w:tc>
        <w:tc>
          <w:tcPr>
            <w:tcW w:type="dxa" w:w="91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  <w:jc w:val="center"/>
            </w:pPr>
            <w:r>
              <w:rPr/>
            </w:r>
          </w:p>
        </w:tc>
        <w:tc>
          <w:tcPr>
            <w:tcW w:type="dxa" w:w="108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  <w:jc w:val="right"/>
            </w:pPr>
            <w:r>
              <w:rPr/>
            </w:r>
          </w:p>
        </w:tc>
        <w:tc>
          <w:tcPr>
            <w:tcW w:type="dxa" w:w="12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  <w:jc w:val="right"/>
            </w:pPr>
            <w:r>
              <w:rPr>
                <w:rFonts w:ascii="Times New Roman" w:eastAsia="Times New Roman" w:hAnsi="Times New Roman"/>
                <w:b w:val="false"/>
                <w:bCs w:val="false"/>
                <w:color w:val="000000"/>
                <w:sz w:val="20"/>
                <w:szCs w:val="20"/>
                <w:lang w:eastAsia="ru-RU" w:val="en-US"/>
              </w:rPr>
              <w:t>16 632,00</w:t>
            </w:r>
          </w:p>
        </w:tc>
      </w:tr>
    </w:tbl>
    <w:p>
      <w:pPr>
        <w:pStyle w:val="style0"/>
        <w:keepNext/>
        <w:widowControl w:val="false"/>
        <w:numPr>
          <w:ilvl w:val="0"/>
          <w:numId w:val="2"/>
        </w:numPr>
        <w:spacing w:after="0" w:before="60" w:line="100" w:lineRule="atLeast"/>
        <w:ind w:hanging="360" w:left="720" w:right="0"/>
        <w:contextualSpacing w:val="false"/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Количество заявок, поданных на участие в электронном аукционе: 1.</w:t>
      </w:r>
    </w:p>
    <w:p>
      <w:pPr>
        <w:pStyle w:val="style0"/>
        <w:keepNext/>
        <w:widowControl w:val="false"/>
        <w:numPr>
          <w:ilvl w:val="0"/>
          <w:numId w:val="2"/>
        </w:numPr>
        <w:spacing w:after="0" w:before="60" w:line="100" w:lineRule="atLeast"/>
        <w:ind w:hanging="360" w:left="720" w:right="0"/>
        <w:contextualSpacing w:val="false"/>
        <w:jc w:val="both"/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Сведения о соответствии или несоответствии (с обоснованием решения о несоответствии) участника электронного аукциона, подавшего единственную заявку на участие в электронном аукционе, и поданной им заявки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</w:p>
    <w:tbl>
      <w:tblPr>
        <w:jc w:val="left"/>
        <w:tblInd w:type="dxa" w:w="11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88"/>
          <w:bottom w:type="dxa" w:w="0"/>
          <w:right w:type="dxa" w:w="108"/>
        </w:tblCellMar>
      </w:tblPr>
      <w:tblGrid>
        <w:gridCol w:w="1060"/>
        <w:gridCol w:w="1162"/>
        <w:gridCol w:w="3424"/>
        <w:gridCol w:w="1325"/>
        <w:gridCol w:w="1649"/>
        <w:gridCol w:w="1513"/>
      </w:tblGrid>
      <w:tr>
        <w:trPr>
          <w:tblHeader w:val="true"/>
          <w:cantSplit w:val="false"/>
        </w:trPr>
        <w:tc>
          <w:tcPr>
            <w:tcW w:type="dxa" w:w="106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keepNext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  <w:p>
            <w:pPr>
              <w:pStyle w:val="style0"/>
              <w:keepNext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Идентификационный номер заявки</w:t>
            </w:r>
          </w:p>
        </w:tc>
        <w:tc>
          <w:tcPr>
            <w:tcW w:type="dxa" w:w="116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keepNext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Дата и время </w:t>
            </w:r>
          </w:p>
          <w:p>
            <w:pPr>
              <w:pStyle w:val="style0"/>
              <w:keepNext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регистрации заявки</w:t>
            </w:r>
          </w:p>
        </w:tc>
        <w:tc>
          <w:tcPr>
            <w:tcW w:type="dxa" w:w="34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keepNext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Наименование участника закупки</w:t>
            </w:r>
          </w:p>
        </w:tc>
        <w:tc>
          <w:tcPr>
            <w:tcW w:type="dxa" w:w="132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keepNext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ИНН участника закупки</w:t>
            </w:r>
          </w:p>
        </w:tc>
        <w:tc>
          <w:tcPr>
            <w:tcW w:type="dxa" w:w="164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keepNext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Решение о соответствии или о несоответствии участника закупки</w:t>
            </w:r>
          </w:p>
        </w:tc>
        <w:tc>
          <w:tcPr>
            <w:tcW w:type="dxa" w:w="151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keepNext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Обоснование решения</w:t>
            </w:r>
          </w:p>
          <w:p>
            <w:pPr>
              <w:pStyle w:val="style0"/>
              <w:keepNext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о несоответствии</w:t>
            </w:r>
          </w:p>
        </w:tc>
      </w:tr>
      <w:tr>
        <w:trPr>
          <w:cantSplit w:val="false"/>
        </w:trPr>
        <w:tc>
          <w:tcPr>
            <w:tcW w:type="dxa" w:w="106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spacing w:after="0" w:before="0"/>
              <w:contextualSpacing w:val="false"/>
            </w:pPr>
            <w:bookmarkStart w:id="1" w:name="__DdeLink__408_493669095"/>
            <w:bookmarkEnd w:id="1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val="en-US"/>
              </w:rPr>
              <w:t>EA-52593</w:t>
            </w:r>
          </w:p>
          <w:p>
            <w:pPr>
              <w:pStyle w:val="style0"/>
              <w:spacing w:after="0" w:before="0"/>
              <w:contextualSpacing w:val="false"/>
            </w:pPr>
            <w:r>
              <w:rPr/>
            </w:r>
          </w:p>
        </w:tc>
        <w:tc>
          <w:tcPr>
            <w:tcW w:type="dxa" w:w="116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spacing w:after="0" w:before="0"/>
              <w:contextualSpacing w:val="false"/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13.07.2020 15:21</w:t>
            </w:r>
          </w:p>
          <w:p>
            <w:pPr>
              <w:pStyle w:val="style0"/>
              <w:spacing w:after="0" w:before="0"/>
              <w:contextualSpacing w:val="false"/>
            </w:pPr>
            <w:r>
              <w:rPr/>
            </w:r>
          </w:p>
        </w:tc>
        <w:tc>
          <w:tcPr>
            <w:tcW w:type="dxa" w:w="34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</w:pPr>
            <w:hyperlink r:id="rId3">
              <w:r>
                <w:rPr>
                  <w:rStyle w:val="style21"/>
                  <w:rStyle w:val="style21"/>
                  <w:rFonts w:ascii="Times New Roman" w:hAnsi="Times New Roman"/>
                  <w:color w:val="000000"/>
                  <w:sz w:val="20"/>
                  <w:szCs w:val="20"/>
                </w:rPr>
                <w:t>ОБЩЕСТВО С ОГРАНИЧЕННОЙ ОТВЕТСТВЕННОСТЬЮ "ФИРМА "ВИТОК"</w:t>
              </w:r>
            </w:hyperlink>
          </w:p>
        </w:tc>
        <w:tc>
          <w:tcPr>
            <w:tcW w:type="dxa" w:w="132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4629045613</w:t>
            </w:r>
          </w:p>
        </w:tc>
        <w:tc>
          <w:tcPr>
            <w:tcW w:type="dxa" w:w="164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spacing w:after="0" w:before="0"/>
              <w:contextualSpacing w:val="false"/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type="dxa" w:w="151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/>
            </w:r>
          </w:p>
        </w:tc>
      </w:tr>
    </w:tbl>
    <w:p>
      <w:pPr>
        <w:pStyle w:val="style0"/>
        <w:keepNext/>
        <w:widowControl w:val="false"/>
        <w:numPr>
          <w:ilvl w:val="0"/>
          <w:numId w:val="2"/>
        </w:numPr>
        <w:spacing w:after="0" w:before="60" w:line="100" w:lineRule="atLeast"/>
        <w:ind w:hanging="360" w:left="720" w:right="0"/>
        <w:contextualSpacing w:val="false"/>
        <w:jc w:val="both"/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 w:val="en-US"/>
        </w:rPr>
        <w:t>Сведения о решении каждого члена аукционной комиссии о соответствии или несоответствии участника электронного аукциона, подавшего единственную заявку на участие в электронном аукционе, и поданной им заявки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</w:p>
    <w:tbl>
      <w:tblPr>
        <w:jc w:val="left"/>
        <w:tblInd w:type="dxa" w:w="-20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88"/>
          <w:bottom w:type="dxa" w:w="0"/>
          <w:right w:type="dxa" w:w="108"/>
        </w:tblCellMar>
      </w:tblPr>
      <w:tblGrid>
        <w:gridCol w:w="4959"/>
        <w:gridCol w:w="4958"/>
      </w:tblGrid>
      <w:tr>
        <w:trPr>
          <w:cantSplit w:val="false"/>
        </w:trPr>
        <w:tc>
          <w:tcPr>
            <w:tcW w:type="dxa" w:w="495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/>
              <w:suppressAutoHyphens w:val="true"/>
              <w:spacing w:after="200" w:before="0" w:line="276" w:lineRule="auto"/>
              <w:contextualSpacing w:val="false"/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Фамилия, имя, отчество</w:t>
            </w:r>
          </w:p>
        </w:tc>
        <w:tc>
          <w:tcPr>
            <w:tcW w:type="dxa" w:w="4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/>
              <w:suppressAutoHyphens w:val="true"/>
              <w:spacing w:after="200" w:before="0" w:line="276" w:lineRule="auto"/>
              <w:contextualSpacing w:val="false"/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Решение о соответствии или о несоответствии участника закупки</w:t>
            </w:r>
          </w:p>
        </w:tc>
      </w:tr>
      <w:tr>
        <w:trPr>
          <w:cantSplit w:val="false"/>
        </w:trPr>
        <w:tc>
          <w:tcPr>
            <w:tcW w:type="dxa" w:w="495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/>
              <w:suppressAutoHyphens w:val="true"/>
              <w:spacing w:after="200" w:before="0" w:line="276" w:lineRule="auto"/>
              <w:contextualSpacing w:val="false"/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Идентификационный номер заявки: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 w:val="en-US"/>
              </w:rPr>
              <w:t>EA-52593</w:t>
            </w:r>
          </w:p>
        </w:tc>
        <w:tc>
          <w:tcPr>
            <w:tcW w:type="dxa" w:w="4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/>
              <w:suppressAutoHyphens w:val="true"/>
              <w:spacing w:after="200" w:before="0" w:line="276" w:lineRule="auto"/>
              <w:contextualSpacing w:val="false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495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/>
              <w:suppressAutoHyphens w:val="true"/>
              <w:spacing w:after="200" w:before="0" w:line="276" w:lineRule="auto"/>
              <w:contextualSpacing w:val="false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Полторацкий Алексей Николаевич</w:t>
            </w:r>
          </w:p>
        </w:tc>
        <w:tc>
          <w:tcPr>
            <w:tcW w:type="dxa" w:w="4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/>
              <w:suppressAutoHyphens w:val="true"/>
              <w:spacing w:after="200" w:before="0" w:line="276" w:lineRule="auto"/>
              <w:contextualSpacing w:val="false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495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/>
              <w:suppressAutoHyphens w:val="true"/>
              <w:spacing w:after="200" w:before="0" w:line="276" w:lineRule="auto"/>
              <w:contextualSpacing w:val="false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Меркель Светлана Леоновна</w:t>
            </w:r>
          </w:p>
        </w:tc>
        <w:tc>
          <w:tcPr>
            <w:tcW w:type="dxa" w:w="4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/>
              <w:suppressAutoHyphens w:val="true"/>
              <w:spacing w:after="200" w:before="0" w:line="276" w:lineRule="auto"/>
              <w:contextualSpacing w:val="false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495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spacing w:after="200" w:before="0"/>
              <w:contextualSpacing w:val="false"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Королев Николай Маркиянович </w:t>
            </w:r>
          </w:p>
        </w:tc>
        <w:tc>
          <w:tcPr>
            <w:tcW w:type="dxa" w:w="4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/>
              <w:suppressAutoHyphens w:val="true"/>
              <w:spacing w:after="200" w:before="0" w:line="276" w:lineRule="auto"/>
              <w:contextualSpacing w:val="false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495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spacing w:after="200" w:before="0"/>
              <w:contextualSpacing w:val="false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color w:val="00000A"/>
                <w:sz w:val="20"/>
                <w:szCs w:val="20"/>
                <w:u w:val="none"/>
                <w:lang w:bidi="ar-SA" w:eastAsia="zh-CN" w:val="en-US"/>
              </w:rPr>
              <w:t>Истомина Анна Владимировна</w:t>
            </w:r>
          </w:p>
        </w:tc>
        <w:tc>
          <w:tcPr>
            <w:tcW w:type="dxa" w:w="4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/>
              <w:suppressAutoHyphens w:val="true"/>
              <w:spacing w:after="200" w:before="0" w:line="276" w:lineRule="auto"/>
              <w:contextualSpacing w:val="false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495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spacing w:after="200" w:before="0"/>
              <w:contextualSpacing w:val="false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color w:val="000000"/>
                <w:sz w:val="20"/>
                <w:szCs w:val="20"/>
                <w:u w:val="none"/>
                <w:lang w:bidi="ar-SA" w:eastAsia="zh-CN" w:val="en-US"/>
              </w:rPr>
              <w:t xml:space="preserve">Филонова Анастасия Викторовна </w:t>
            </w:r>
          </w:p>
        </w:tc>
        <w:tc>
          <w:tcPr>
            <w:tcW w:type="dxa" w:w="4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/>
              <w:suppressAutoHyphens w:val="true"/>
              <w:spacing w:after="200" w:before="0" w:line="276" w:lineRule="auto"/>
              <w:contextualSpacing w:val="false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495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/>
              <w:suppressAutoHyphens w:val="true"/>
              <w:spacing w:after="200" w:before="0" w:line="276" w:lineRule="auto"/>
              <w:contextualSpacing w:val="false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Шаталова Юлия Алексеевна</w:t>
            </w:r>
          </w:p>
        </w:tc>
        <w:tc>
          <w:tcPr>
            <w:tcW w:type="dxa" w:w="495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/>
              <w:suppressAutoHyphens w:val="true"/>
              <w:spacing w:after="200" w:before="0" w:line="276" w:lineRule="auto"/>
              <w:contextualSpacing w:val="false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</w:tr>
    </w:tbl>
    <w:p>
      <w:pPr>
        <w:pStyle w:val="style0"/>
        <w:keepNext/>
        <w:widowControl w:val="false"/>
        <w:numPr>
          <w:ilvl w:val="0"/>
          <w:numId w:val="2"/>
        </w:numPr>
        <w:spacing w:after="0" w:before="60" w:line="100" w:lineRule="atLeast"/>
        <w:ind w:hanging="360" w:left="720" w:right="0"/>
        <w:contextualSpacing w:val="false"/>
        <w:jc w:val="both"/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Электронный аукцион признан несостоявшимся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несостоявшимся: по окончании срока подачи заявок на участие в электронном аукционе оператором электронной площадки зарегистрирована только одна заявка. </w:t>
      </w:r>
    </w:p>
    <w:p>
      <w:pPr>
        <w:pStyle w:val="style0"/>
        <w:keepNext/>
        <w:widowControl w:val="false"/>
        <w:numPr>
          <w:ilvl w:val="0"/>
          <w:numId w:val="2"/>
        </w:numPr>
        <w:spacing w:after="0" w:before="60" w:line="100" w:lineRule="atLeast"/>
        <w:contextualSpacing w:val="false"/>
        <w:jc w:val="both"/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Заключить контракт с участником электронного аукциона, подавшим единственную заявку на участие в электронном аукционе, в соответствии </w:t>
      </w:r>
      <w:r>
        <w:rPr>
          <w:rFonts w:ascii="Times New Roman" w:cs="Times New Roman" w:eastAsia="Times New Roman" w:hAnsi="Times New Roman"/>
          <w:color w:val="000000"/>
          <w:sz w:val="20"/>
          <w:szCs w:val="20"/>
          <w:lang w:eastAsia="ru-RU"/>
        </w:rPr>
        <w:t xml:space="preserve">с ч. 1 ст. 71 </w:t>
      </w: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Федерального закона от 05.04.2013 № 44-ФЗ:</w:t>
      </w:r>
    </w:p>
    <w:tbl>
      <w:tblPr>
        <w:jc w:val="left"/>
        <w:tblInd w:type="dxa" w:w="-54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88"/>
          <w:bottom w:type="dxa" w:w="0"/>
          <w:right w:type="dxa" w:w="108"/>
        </w:tblCellMar>
      </w:tblPr>
      <w:tblGrid>
        <w:gridCol w:w="5473"/>
        <w:gridCol w:w="1538"/>
        <w:gridCol w:w="3479"/>
      </w:tblGrid>
      <w:tr>
        <w:trPr>
          <w:cantSplit w:val="false"/>
        </w:trPr>
        <w:tc>
          <w:tcPr>
            <w:tcW w:type="dxa" w:w="547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Наименование участника закупки</w:t>
            </w:r>
          </w:p>
        </w:tc>
        <w:tc>
          <w:tcPr>
            <w:tcW w:type="dxa" w:w="153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type="dxa" w:w="347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Место нахождения</w:t>
            </w:r>
          </w:p>
        </w:tc>
      </w:tr>
      <w:tr>
        <w:trPr>
          <w:cantSplit w:val="false"/>
        </w:trPr>
        <w:tc>
          <w:tcPr>
            <w:tcW w:type="dxa" w:w="547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widowControl w:val="false"/>
              <w:spacing w:after="0" w:before="60" w:line="100" w:lineRule="atLeast"/>
              <w:contextualSpacing w:val="false"/>
            </w:pPr>
            <w:hyperlink r:id="rId4">
              <w:r>
                <w:rPr>
                  <w:rStyle w:val="style21"/>
                  <w:rStyle w:val="style21"/>
                  <w:rFonts w:ascii="Times New Roman" w:hAnsi="Times New Roman"/>
                  <w:color w:val="000000"/>
                  <w:sz w:val="20"/>
                  <w:szCs w:val="20"/>
                </w:rPr>
                <w:t>ОБЩЕСТВО С ОГРАНИЧЕННОЙ ОТВЕТСТВЕННОСТЬЮ "ФИРМА "ВИТОК"</w:t>
              </w:r>
            </w:hyperlink>
          </w:p>
        </w:tc>
        <w:tc>
          <w:tcPr>
            <w:tcW w:type="dxa" w:w="153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4629045613</w:t>
            </w:r>
          </w:p>
        </w:tc>
        <w:tc>
          <w:tcPr>
            <w:tcW w:type="dxa" w:w="347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</w:tcPr>
          <w:p>
            <w:pPr>
              <w:pStyle w:val="style0"/>
              <w:spacing w:after="0" w:before="0" w:line="276" w:lineRule="auto"/>
              <w:contextualSpacing w:val="false"/>
              <w:jc w:val="center"/>
            </w:pPr>
            <w:r>
              <w:rPr>
                <w:rFonts w:ascii="Times New Roman" w:hAnsi="Times New Roman"/>
                <w:i w:val="false"/>
                <w:iCs w:val="false"/>
                <w:color w:val="000000"/>
                <w:sz w:val="20"/>
                <w:szCs w:val="20"/>
                <w:lang w:eastAsia="ru-RU" w:val="en-US"/>
              </w:rPr>
              <w:t>305021, г. Курск, ул. Кавказская, д. 37</w:t>
            </w:r>
          </w:p>
        </w:tc>
      </w:tr>
    </w:tbl>
    <w:p>
      <w:pPr>
        <w:pStyle w:val="style0"/>
        <w:keepNext/>
        <w:widowControl w:val="false"/>
        <w:numPr>
          <w:ilvl w:val="0"/>
          <w:numId w:val="2"/>
        </w:numPr>
        <w:spacing w:after="0" w:before="60" w:line="100" w:lineRule="atLeast"/>
        <w:ind w:hanging="360" w:left="720" w:right="0"/>
        <w:contextualSpacing w:val="false"/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Подписи:</w:t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3308"/>
        <w:gridCol w:w="2813"/>
        <w:gridCol w:w="3804"/>
      </w:tblGrid>
      <w:tr>
        <w:trPr>
          <w:cantSplit w:val="false"/>
        </w:trPr>
        <w:tc>
          <w:tcPr>
            <w:tcW w:type="dxa" w:w="3308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/>
              <w:suppressAutoHyphens w:val="true"/>
              <w:spacing w:after="200" w:before="0" w:line="276" w:lineRule="auto"/>
              <w:contextualSpacing w:val="false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Председатель комиссии</w:t>
            </w:r>
          </w:p>
        </w:tc>
        <w:tc>
          <w:tcPr>
            <w:tcW w:type="dxa" w:w="281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200" w:before="0"/>
              <w:contextualSpacing w:val="false"/>
              <w:jc w:val="center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______________________</w:t>
            </w:r>
          </w:p>
        </w:tc>
        <w:tc>
          <w:tcPr>
            <w:tcW w:type="dxa" w:w="3804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/>
              <w:suppressAutoHyphens w:val="true"/>
              <w:spacing w:after="200" w:before="0" w:line="276" w:lineRule="auto"/>
              <w:contextualSpacing w:val="false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Полторацкий Алексей Николаевич</w:t>
            </w:r>
          </w:p>
        </w:tc>
      </w:tr>
      <w:tr>
        <w:trPr>
          <w:cantSplit w:val="false"/>
        </w:trPr>
        <w:tc>
          <w:tcPr>
            <w:tcW w:type="dxa" w:w="3308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/>
              <w:suppressAutoHyphens w:val="true"/>
              <w:spacing w:after="200" w:before="0" w:line="276" w:lineRule="auto"/>
              <w:contextualSpacing w:val="false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type="dxa" w:w="281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200" w:before="0"/>
              <w:contextualSpacing w:val="false"/>
              <w:jc w:val="center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______________________</w:t>
            </w:r>
          </w:p>
        </w:tc>
        <w:tc>
          <w:tcPr>
            <w:tcW w:type="dxa" w:w="3804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/>
              <w:suppressAutoHyphens w:val="true"/>
              <w:spacing w:after="200" w:before="0" w:line="276" w:lineRule="auto"/>
              <w:contextualSpacing w:val="false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Меркель Светлана Леоновна</w:t>
            </w:r>
          </w:p>
        </w:tc>
      </w:tr>
      <w:tr>
        <w:trPr>
          <w:cantSplit w:val="false"/>
        </w:trPr>
        <w:tc>
          <w:tcPr>
            <w:tcW w:type="dxa" w:w="3308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/>
              <w:suppressAutoHyphens w:val="true"/>
              <w:spacing w:after="200" w:before="0" w:line="276" w:lineRule="auto"/>
              <w:contextualSpacing w:val="false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Член комиссии</w:t>
            </w:r>
          </w:p>
        </w:tc>
        <w:tc>
          <w:tcPr>
            <w:tcW w:type="dxa" w:w="281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200" w:before="0"/>
              <w:contextualSpacing w:val="false"/>
              <w:jc w:val="center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______________________</w:t>
            </w:r>
          </w:p>
        </w:tc>
        <w:tc>
          <w:tcPr>
            <w:tcW w:type="dxa" w:w="3804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200" w:before="0"/>
              <w:contextualSpacing w:val="false"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Королев Николай Маркиянович </w:t>
            </w:r>
          </w:p>
        </w:tc>
      </w:tr>
      <w:tr>
        <w:trPr>
          <w:cantSplit w:val="false"/>
        </w:trPr>
        <w:tc>
          <w:tcPr>
            <w:tcW w:type="dxa" w:w="3308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/>
              <w:suppressAutoHyphens w:val="true"/>
              <w:spacing w:after="200" w:before="0" w:line="276" w:lineRule="auto"/>
              <w:contextualSpacing w:val="false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Член комиссии</w:t>
            </w:r>
          </w:p>
        </w:tc>
        <w:tc>
          <w:tcPr>
            <w:tcW w:type="dxa" w:w="281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200" w:before="0"/>
              <w:contextualSpacing w:val="false"/>
              <w:jc w:val="center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______________________</w:t>
            </w:r>
          </w:p>
        </w:tc>
        <w:tc>
          <w:tcPr>
            <w:tcW w:type="dxa" w:w="3804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200" w:before="0"/>
              <w:contextualSpacing w:val="false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color w:val="00000A"/>
                <w:sz w:val="20"/>
                <w:szCs w:val="20"/>
                <w:u w:val="none"/>
                <w:lang w:bidi="ar-SA" w:eastAsia="zh-CN" w:val="en-US"/>
              </w:rPr>
              <w:t>Истомина Анна Владимировна</w:t>
            </w:r>
          </w:p>
        </w:tc>
      </w:tr>
      <w:tr>
        <w:trPr>
          <w:cantSplit w:val="false"/>
        </w:trPr>
        <w:tc>
          <w:tcPr>
            <w:tcW w:type="dxa" w:w="3308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/>
              <w:suppressAutoHyphens w:val="true"/>
              <w:spacing w:after="200" w:before="0" w:line="276" w:lineRule="auto"/>
              <w:contextualSpacing w:val="false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Член комиссии</w:t>
            </w:r>
          </w:p>
        </w:tc>
        <w:tc>
          <w:tcPr>
            <w:tcW w:type="dxa" w:w="281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200" w:before="0"/>
              <w:contextualSpacing w:val="false"/>
              <w:jc w:val="center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______________________</w:t>
            </w:r>
          </w:p>
        </w:tc>
        <w:tc>
          <w:tcPr>
            <w:tcW w:type="dxa" w:w="3804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200" w:before="0"/>
              <w:contextualSpacing w:val="false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color w:val="000000"/>
                <w:sz w:val="20"/>
                <w:szCs w:val="20"/>
                <w:u w:val="none"/>
                <w:lang w:bidi="ar-SA" w:eastAsia="zh-CN" w:val="en-US"/>
              </w:rPr>
              <w:t xml:space="preserve">Филонова Анастасия Викторовна </w:t>
            </w:r>
          </w:p>
        </w:tc>
      </w:tr>
      <w:tr>
        <w:trPr>
          <w:cantSplit w:val="false"/>
        </w:trPr>
        <w:tc>
          <w:tcPr>
            <w:tcW w:type="dxa" w:w="3308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/>
              <w:suppressAutoHyphens w:val="true"/>
              <w:spacing w:after="200" w:before="0" w:line="276" w:lineRule="auto"/>
              <w:contextualSpacing w:val="false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Секретарь комиссии</w:t>
            </w:r>
          </w:p>
        </w:tc>
        <w:tc>
          <w:tcPr>
            <w:tcW w:type="dxa" w:w="281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200" w:before="0"/>
              <w:contextualSpacing w:val="false"/>
              <w:jc w:val="center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______________________</w:t>
            </w:r>
          </w:p>
        </w:tc>
        <w:tc>
          <w:tcPr>
            <w:tcW w:type="dxa" w:w="3804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widowControl/>
              <w:suppressAutoHyphens w:val="true"/>
              <w:spacing w:after="200" w:before="0" w:line="276" w:lineRule="auto"/>
              <w:contextualSpacing w:val="false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Шаталова Юлия Алексеевна</w:t>
            </w:r>
          </w:p>
        </w:tc>
      </w:tr>
    </w:tbl>
    <w:p>
      <w:pPr>
        <w:pStyle w:val="style0"/>
        <w:spacing w:after="200" w:before="0"/>
        <w:contextualSpacing w:val="false"/>
      </w:pPr>
      <w:r>
        <w:rPr/>
      </w:r>
    </w:p>
    <w:sectPr>
      <w:headerReference r:id="rId5" w:type="default"/>
      <w:footerReference r:id="rId6" w:type="default"/>
      <w:type w:val="nextPage"/>
      <w:pgSz w:h="16838" w:w="11906"/>
      <w:pgMar w:bottom="851" w:footer="708" w:gutter="0" w:header="708" w:left="1134" w:right="850" w:top="765"/>
      <w:pgNumType w:fmt="decimal"/>
      <w:formProt w:val="false"/>
      <w:textDirection w:val="lrTb"/>
      <w:docGrid w:charSpace="20480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32"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31"/>
    </w:pPr>
    <w:r>
      <w:rPr/>
    </w:r>
  </w:p>
</w:hdr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ind w:hanging="0" w:left="0"/>
      </w:pPr>
    </w:lvl>
    <w:lvl w:ilvl="1">
      <w:start w:val="1"/>
      <w:numFmt w:val="decimal"/>
      <w:lvlText w:val="%2."/>
      <w:lvlJc w:val="left"/>
      <w:pPr>
        <w:tabs>
          <w:tab w:pos="1080" w:val="num"/>
        </w:tabs>
        <w:ind w:hanging="360" w:left="1080"/>
      </w:pPr>
    </w:lvl>
    <w:lvl w:ilvl="2">
      <w:start w:val="1"/>
      <w:numFmt w:val="decimal"/>
      <w:lvlText w:val="%3."/>
      <w:lvlJc w:val="left"/>
      <w:pPr>
        <w:tabs>
          <w:tab w:pos="1440" w:val="num"/>
        </w:tabs>
        <w:ind w:hanging="360" w:left="1440"/>
      </w:pPr>
    </w:lvl>
    <w:lvl w:ilvl="3">
      <w:start w:val="1"/>
      <w:numFmt w:val="decimal"/>
      <w:lvlText w:val="%4."/>
      <w:lvlJc w:val="left"/>
      <w:pPr>
        <w:tabs>
          <w:tab w:pos="1800" w:val="num"/>
        </w:tabs>
        <w:ind w:hanging="360" w:left="1800"/>
      </w:pPr>
    </w:lvl>
    <w:lvl w:ilvl="4">
      <w:start w:val="1"/>
      <w:numFmt w:val="decimal"/>
      <w:lvlText w:val="%5."/>
      <w:lvlJc w:val="left"/>
      <w:pPr>
        <w:tabs>
          <w:tab w:pos="2160" w:val="num"/>
        </w:tabs>
        <w:ind w:hanging="360" w:left="2160"/>
      </w:pPr>
    </w:lvl>
    <w:lvl w:ilvl="5">
      <w:start w:val="1"/>
      <w:numFmt w:val="decimal"/>
      <w:lvlText w:val="%6."/>
      <w:lvlJc w:val="left"/>
      <w:pPr>
        <w:tabs>
          <w:tab w:pos="2520" w:val="num"/>
        </w:tabs>
        <w:ind w:hanging="360" w:left="2520"/>
      </w:pPr>
    </w:lvl>
    <w:lvl w:ilvl="6">
      <w:start w:val="1"/>
      <w:numFmt w:val="decimal"/>
      <w:lvlText w:val="%7."/>
      <w:lvlJc w:val="left"/>
      <w:pPr>
        <w:tabs>
          <w:tab w:pos="2880" w:val="num"/>
        </w:tabs>
        <w:ind w:hanging="360" w:left="2880"/>
      </w:pPr>
    </w:lvl>
    <w:lvl w:ilvl="7">
      <w:start w:val="1"/>
      <w:numFmt w:val="decimal"/>
      <w:lvlText w:val="%8."/>
      <w:lvlJc w:val="left"/>
      <w:pPr>
        <w:tabs>
          <w:tab w:pos="3240" w:val="num"/>
        </w:tabs>
        <w:ind w:hanging="360" w:left="3240"/>
      </w:pPr>
    </w:lvl>
    <w:lvl w:ilvl="8">
      <w:start w:val="1"/>
      <w:numFmt w:val="decimal"/>
      <w:lvlText w:val="%9."/>
      <w:lvlJc w:val="left"/>
      <w:pPr>
        <w:tabs>
          <w:tab w:pos="3600" w:val="num"/>
        </w:tabs>
        <w:ind w:hanging="360" w:left="3600"/>
      </w:pPr>
    </w:lvl>
  </w:abstractNum>
  <w:abstractNum w:abstractNumId="2">
    <w:lvl w:ilvl="0">
      <w:start w:val="1"/>
      <w:numFmt w:val="decimal"/>
      <w:lvlText w:val="%1."/>
      <w:lvlJc w:val="left"/>
      <w:pPr>
        <w:ind w:hanging="360" w:left="720"/>
      </w:pPr>
      <w:rPr>
        <w:color w:val="00000A"/>
        <w:i w:val="false"/>
        <w:b w:val="false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8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suppressAutoHyphens w:val="true"/>
      <w:spacing w:after="200" w:before="0" w:line="276" w:lineRule="auto"/>
      <w:contextualSpacing w:val="false"/>
    </w:pPr>
    <w:rPr>
      <w:rFonts w:ascii="Calibri" w:cs="Times New Roman" w:eastAsia="Calibri" w:hAnsi="Calibri"/>
      <w:color w:val="00000A"/>
      <w:sz w:val="22"/>
      <w:szCs w:val="22"/>
      <w:lang w:bidi="ar-SA" w:eastAsia="en-US" w:val="ru-RU"/>
    </w:rPr>
  </w:style>
  <w:style w:styleId="style15" w:type="character">
    <w:name w:val="Default Paragraph Font"/>
    <w:next w:val="style15"/>
    <w:rPr/>
  </w:style>
  <w:style w:styleId="style16" w:type="character">
    <w:name w:val="Верхний колонтитул Знак"/>
    <w:basedOn w:val="style15"/>
    <w:next w:val="style16"/>
    <w:rPr>
      <w:rFonts w:ascii="Calibri" w:cs="Times New Roman" w:eastAsia="Calibri" w:hAnsi="Calibri"/>
    </w:rPr>
  </w:style>
  <w:style w:styleId="style17" w:type="character">
    <w:name w:val="Нижний колонтитул Знак"/>
    <w:basedOn w:val="style15"/>
    <w:next w:val="style17"/>
    <w:rPr>
      <w:rFonts w:ascii="Calibri" w:cs="Times New Roman" w:eastAsia="Calibri" w:hAnsi="Calibri"/>
    </w:rPr>
  </w:style>
  <w:style w:styleId="style18" w:type="character">
    <w:name w:val="ListLabel 1"/>
    <w:next w:val="style18"/>
    <w:rPr>
      <w:b w:val="false"/>
      <w:i w:val="false"/>
      <w:color w:val="00000A"/>
    </w:rPr>
  </w:style>
  <w:style w:styleId="style19" w:type="character">
    <w:name w:val="ListLabel 2"/>
    <w:next w:val="style19"/>
    <w:rPr>
      <w:b w:val="false"/>
      <w:i w:val="false"/>
      <w:color w:val="00000A"/>
    </w:rPr>
  </w:style>
  <w:style w:styleId="style20" w:type="character">
    <w:name w:val="ListLabel 3"/>
    <w:next w:val="style20"/>
    <w:rPr>
      <w:b w:val="false"/>
      <w:i w:val="false"/>
      <w:color w:val="00000A"/>
    </w:rPr>
  </w:style>
  <w:style w:styleId="style21" w:type="character">
    <w:name w:val="Интернет-ссылка"/>
    <w:next w:val="style21"/>
    <w:rPr>
      <w:color w:val="000080"/>
      <w:u w:val="single"/>
      <w:lang w:bidi="zxx-" w:eastAsia="zxx-" w:val="zxx-"/>
    </w:rPr>
  </w:style>
  <w:style w:styleId="style22" w:type="character">
    <w:name w:val="ListLabel 4"/>
    <w:next w:val="style22"/>
    <w:rPr>
      <w:b w:val="false"/>
      <w:i w:val="false"/>
      <w:color w:val="00000A"/>
    </w:rPr>
  </w:style>
  <w:style w:styleId="style23" w:type="character">
    <w:name w:val="ListLabel 5"/>
    <w:next w:val="style23"/>
    <w:rPr>
      <w:b w:val="false"/>
      <w:i w:val="false"/>
      <w:color w:val="00000A"/>
    </w:rPr>
  </w:style>
  <w:style w:styleId="style24" w:type="paragraph">
    <w:name w:val="Заголовок"/>
    <w:basedOn w:val="style0"/>
    <w:next w:val="style25"/>
    <w:pPr>
      <w:keepNext/>
      <w:spacing w:after="120" w:before="240"/>
      <w:contextualSpacing w:val="false"/>
    </w:pPr>
    <w:rPr>
      <w:rFonts w:ascii="Arial" w:cs="Arial" w:eastAsia="Microsoft YaHei" w:hAnsi="Arial"/>
      <w:sz w:val="28"/>
      <w:szCs w:val="28"/>
    </w:rPr>
  </w:style>
  <w:style w:styleId="style25" w:type="paragraph">
    <w:name w:val="Основной текст"/>
    <w:basedOn w:val="style0"/>
    <w:next w:val="style25"/>
    <w:pPr>
      <w:spacing w:after="120" w:before="0"/>
      <w:contextualSpacing w:val="false"/>
    </w:pPr>
    <w:rPr/>
  </w:style>
  <w:style w:styleId="style26" w:type="paragraph">
    <w:name w:val="Список"/>
    <w:basedOn w:val="style25"/>
    <w:next w:val="style26"/>
    <w:pPr/>
    <w:rPr>
      <w:rFonts w:cs="Arial"/>
    </w:rPr>
  </w:style>
  <w:style w:styleId="style27" w:type="paragraph">
    <w:name w:val="Название"/>
    <w:basedOn w:val="style0"/>
    <w:next w:val="style27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28" w:type="paragraph">
    <w:name w:val="Указатель"/>
    <w:basedOn w:val="style0"/>
    <w:next w:val="style28"/>
    <w:pPr>
      <w:suppressLineNumbers/>
    </w:pPr>
    <w:rPr>
      <w:rFonts w:cs="Arial"/>
    </w:rPr>
  </w:style>
  <w:style w:styleId="style29" w:type="paragraph">
    <w:name w:val="Абзац списка1"/>
    <w:basedOn w:val="style0"/>
    <w:next w:val="style29"/>
    <w:pPr>
      <w:spacing w:after="200" w:before="0"/>
      <w:ind w:hanging="0" w:left="720" w:right="0"/>
      <w:contextualSpacing/>
    </w:pPr>
    <w:rPr/>
  </w:style>
  <w:style w:styleId="style30" w:type="paragraph">
    <w:name w:val="List Paragraph1"/>
    <w:basedOn w:val="style0"/>
    <w:next w:val="style30"/>
    <w:pPr>
      <w:ind w:hanging="0" w:left="720" w:right="0"/>
    </w:pPr>
    <w:rPr>
      <w:rFonts w:cs="Calibri" w:eastAsia="Times New Roman"/>
    </w:rPr>
  </w:style>
  <w:style w:styleId="style31" w:type="paragraph">
    <w:name w:val="Верхний колонтитул"/>
    <w:basedOn w:val="style0"/>
    <w:next w:val="style31"/>
    <w:pPr>
      <w:tabs>
        <w:tab w:leader="none" w:pos="4677" w:val="center"/>
        <w:tab w:leader="none" w:pos="9355" w:val="right"/>
      </w:tabs>
      <w:spacing w:after="0" w:before="0" w:line="100" w:lineRule="atLeast"/>
      <w:contextualSpacing w:val="false"/>
    </w:pPr>
    <w:rPr/>
  </w:style>
  <w:style w:styleId="style32" w:type="paragraph">
    <w:name w:val="Нижний колонтитул"/>
    <w:basedOn w:val="style0"/>
    <w:next w:val="style32"/>
    <w:pPr>
      <w:tabs>
        <w:tab w:leader="none" w:pos="4677" w:val="center"/>
        <w:tab w:leader="none" w:pos="9355" w:val="right"/>
      </w:tabs>
      <w:spacing w:after="0" w:before="0" w:line="100" w:lineRule="atLeast"/>
      <w:contextualSpacing w:val="false"/>
    </w:pPr>
    <w:rPr/>
  </w:style>
  <w:style w:styleId="style33" w:type="paragraph">
    <w:name w:val="Содержимое таблицы"/>
    <w:basedOn w:val="style0"/>
    <w:next w:val="style33"/>
    <w:pPr/>
    <w:rPr/>
  </w:style>
  <w:style w:styleId="style34" w:type="paragraph">
    <w:name w:val="Заголовок таблицы"/>
    <w:basedOn w:val="style33"/>
    <w:next w:val="style34"/>
    <w:pPr/>
    <w:rPr/>
  </w:style>
  <w:style w:styleId="style35" w:type="paragraph">
    <w:name w:val="Содержимое списка"/>
    <w:basedOn w:val="style0"/>
    <w:next w:val="style35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z.lot-online.ru/etp_front/procedure/view/procedure/common/0744200000220000512?backUrl=L3Byb2NlZHVyZS9saXN0P3BlcnNvbmFsPXRydWUmcGFnZT0xJnNvcnQ9MSZzb3J0RGlyZWN0aW9uPUFTQw%3D%3D" TargetMode="External"/><Relationship Id="rId3" Type="http://schemas.openxmlformats.org/officeDocument/2006/relationships/hyperlink" Target="https://gz.lot-online.ru/etp_front/organisation/view/188D5905-1166-43AC-8E95-058291AA28A3?procedure=24804&amp;backurl=L3Byb2NlZHVyZS9wcm90b2NvbC9lZGl0P3Byb2NlZHVyZUlkPTI0ODA0JnR5cGU9RWxlY3Ryb25pY0F1Y3Rpb25SZXF1ZXN0RmluYWxQcm90b2NvbA==" TargetMode="External"/><Relationship Id="rId4" Type="http://schemas.openxmlformats.org/officeDocument/2006/relationships/hyperlink" Target="https://gz.lot-online.ru/etp_front/organisation/view/188D5905-1166-43AC-8E95-058291AA28A3?procedure=24804&amp;backurl=L3Byb2NlZHVyZS9wcm90b2NvbC9lZGl0P3Byb2NlZHVyZUlkPTI0ODA0JnR5cGU9RWxlY3Ryb25pY0F1Y3Rpb25SZXF1ZXN0RmluYWxQcm90b2NvbA==" TargetMode="Externa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LibreOffice/4.0.0.3$Windows_x86 LibreOffice_project/7545bee9c2a0782548772a21bc84a9dcc583b89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2020-07-08T08:35:00.00Z</dcterms:created>
  <cp:lastModifiedBy>thread1</cp:lastModifiedBy>
  <dcterms:modified xsi:type="dcterms:W3CDTF">2020-07-08T08:35:00.00Z</dcterms:modified>
  <cp:revision>2</cp:revision>
</cp:coreProperties>
</file>