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03.4-4/582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10:31:31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202461800314646180100100180100000244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037"/>
        <w:gridCol w:w="1875"/>
        <w:gridCol w:w="1300"/>
        <w:gridCol w:w="27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Пунктом 38 аукционной документации («Условия,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лицами») установлены ограничения в соответствии с Постановлением Правительства РФ от 30 апреля 2020 г.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ГОСУДАРСТВА.  Пунктом 39аукционной документации ("Вторая часть заявки на участие в электронном аукционе должна содержать следующие документы и информацию" ) установлены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1926"/>
        <w:gridCol w:w="1924"/>
        <w:gridCol w:w="1539"/>
        <w:gridCol w:w="271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EA-54517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4 243,33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закупки в нарушении п.38 и п.39 аукционной документации не предоставил  Выписку из реестра российской промышленной продукции. Таким образом, участник закупки не представил информацию, соответствующую требованиям документации об электронном аукционе. 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5</Pages>
  <Words>880</Words>
  <Characters>6531</Characters>
  <CharactersWithSpaces>7324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2020-08-11T11:53:21Z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