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67"/>
        <w:jc w:val="center"/>
        <w:rPr>
          <w:sz w:val="20"/>
          <w:szCs w:val="20"/>
        </w:rPr>
      </w:pPr>
      <w:bookmarkStart w:id="0" w:name="_GoBack"/>
      <w:bookmarkEnd w:id="0"/>
      <w:r>
        <w:rPr>
          <w:rFonts w:eastAsia="Times New Roman"/>
          <w:b/>
          <w:bCs/>
          <w:sz w:val="20"/>
          <w:szCs w:val="20"/>
        </w:rPr>
        <w:t>Протокол</w:t>
      </w:r>
      <w:r>
        <w:rPr>
          <w:rFonts w:eastAsia="Times New Roman"/>
          <w:b/>
          <w:bCs/>
          <w:sz w:val="20"/>
          <w:szCs w:val="20"/>
        </w:rPr>
        <w:t>№ 03.4-4/</w:t>
      </w:r>
      <w:r>
        <w:rPr>
          <w:rFonts w:eastAsia="Times New Roman"/>
          <w:b/>
          <w:bCs/>
          <w:sz w:val="20"/>
          <w:szCs w:val="20"/>
          <w:lang w:val="en-US"/>
        </w:rPr>
        <w:t xml:space="preserve"> 1173    </w:t>
      </w:r>
      <w:r>
        <w:rPr>
          <w:rFonts w:eastAsia="Times New Roman"/>
          <w:b/>
          <w:bCs/>
          <w:sz w:val="20"/>
          <w:szCs w:val="20"/>
        </w:rPr>
        <w:t>подведения итогов электронного аукциона</w:t>
      </w:r>
    </w:p>
    <w:p>
      <w:pPr>
        <w:pStyle w:val="Normal"/>
        <w:ind w:firstLine="567"/>
        <w:jc w:val="center"/>
        <w:rPr>
          <w:sz w:val="20"/>
          <w:szCs w:val="20"/>
        </w:rPr>
      </w:pPr>
      <w:r>
        <w:rPr>
          <w:rFonts w:eastAsia="Times New Roman"/>
          <w:b/>
          <w:bCs/>
          <w:sz w:val="20"/>
          <w:szCs w:val="20"/>
        </w:rPr>
        <w:t>"Поставка специальной одежды"</w:t>
      </w:r>
    </w:p>
    <w:p>
      <w:pPr>
        <w:pStyle w:val="Normal"/>
        <w:ind w:firstLine="567"/>
        <w:jc w:val="center"/>
        <w:rPr>
          <w:rFonts w:eastAsia="Times New Roman"/>
          <w:b/>
          <w:b/>
          <w:bCs/>
          <w:lang w:val="en-US"/>
        </w:rPr>
      </w:pPr>
      <w:r>
        <w:rPr>
          <w:rFonts w:eastAsia="Times New Roman"/>
          <w:b/>
          <w:bCs/>
          <w:sz w:val="20"/>
          <w:szCs w:val="20"/>
          <w:lang w:val="en-US"/>
        </w:rPr>
        <w:t xml:space="preserve">(№ </w:t>
      </w:r>
      <w:r>
        <w:rPr>
          <w:rFonts w:eastAsia="Times New Roman"/>
          <w:b/>
          <w:bCs/>
          <w:sz w:val="20"/>
          <w:szCs w:val="20"/>
        </w:rPr>
        <w:t>извещения</w:t>
      </w:r>
      <w:r>
        <w:rPr>
          <w:rFonts w:eastAsia="Times New Roman"/>
          <w:b/>
          <w:bCs/>
          <w:sz w:val="20"/>
          <w:szCs w:val="20"/>
          <w:lang w:val="en-US"/>
        </w:rPr>
        <w:t xml:space="preserve"> 0744200000220002279) </w:t>
      </w:r>
    </w:p>
    <w:p>
      <w:pPr>
        <w:pStyle w:val="Normal"/>
        <w:ind w:firstLine="567"/>
        <w:jc w:val="center"/>
        <w:rPr>
          <w:sz w:val="20"/>
          <w:szCs w:val="20"/>
          <w:lang w:val="en-US"/>
        </w:rPr>
      </w:pPr>
      <w:r>
        <w:rPr>
          <w:sz w:val="20"/>
          <w:szCs w:val="20"/>
          <w:lang w:val="en-US"/>
        </w:rPr>
      </w:r>
    </w:p>
    <w:p>
      <w:pPr>
        <w:pStyle w:val="Normal"/>
        <w:ind w:firstLine="567"/>
        <w:jc w:val="right"/>
        <w:rPr>
          <w:lang w:val="en-US"/>
        </w:rPr>
      </w:pPr>
      <w:r>
        <w:rPr>
          <w:rFonts w:eastAsia="Times New Roman"/>
          <w:sz w:val="20"/>
          <w:szCs w:val="20"/>
          <w:lang w:val="en-US"/>
        </w:rPr>
        <w:t xml:space="preserve">  </w:t>
      </w:r>
      <w:r>
        <w:rPr>
          <w:rFonts w:eastAsia="Times New Roman"/>
          <w:sz w:val="20"/>
          <w:szCs w:val="20"/>
          <w:lang w:val="en-US"/>
        </w:rPr>
        <w:t>09</w:t>
      </w:r>
      <w:r>
        <w:rPr>
          <w:rFonts w:eastAsia="Times New Roman"/>
          <w:sz w:val="20"/>
          <w:szCs w:val="20"/>
          <w:lang w:val="en-US"/>
        </w:rPr>
        <w:t xml:space="preserve">.10.20 </w:t>
      </w:r>
      <w:r>
        <w:rPr>
          <w:rFonts w:eastAsia="Times New Roman"/>
          <w:sz w:val="20"/>
          <w:szCs w:val="20"/>
          <w:lang w:val="ru-RU"/>
        </w:rPr>
        <w:t>г.</w:t>
      </w:r>
    </w:p>
    <w:p>
      <w:pPr>
        <w:pStyle w:val="Normal"/>
        <w:ind w:firstLine="567"/>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Место</w:t>
      </w:r>
      <w:r>
        <w:rPr>
          <w:rFonts w:eastAsia="Times New Roman"/>
          <w:sz w:val="20"/>
          <w:szCs w:val="20"/>
          <w:lang w:val="en-US"/>
        </w:rPr>
        <w:t xml:space="preserve"> </w:t>
      </w:r>
      <w:r>
        <w:rPr>
          <w:rFonts w:eastAsia="Times New Roman"/>
          <w:sz w:val="20"/>
          <w:szCs w:val="20"/>
        </w:rPr>
        <w:t>публикации</w:t>
      </w:r>
      <w:r>
        <w:rPr>
          <w:rFonts w:eastAsia="Times New Roman"/>
          <w:sz w:val="20"/>
          <w:szCs w:val="20"/>
          <w:lang w:val="en-US"/>
        </w:rPr>
        <w:t>: Российская Федерация, 305029, Курская обл, Курск г, Красный Октябрь, д.21</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Организатор</w:t>
      </w:r>
      <w:r>
        <w:rPr>
          <w:rFonts w:eastAsia="Times New Roman"/>
          <w:sz w:val="20"/>
          <w:szCs w:val="20"/>
          <w:lang w:val="en-US"/>
        </w:rPr>
        <w:t xml:space="preserve"> </w:t>
      </w:r>
      <w:r>
        <w:rPr>
          <w:rFonts w:eastAsia="Times New Roman"/>
          <w:sz w:val="20"/>
          <w:szCs w:val="20"/>
        </w:rPr>
        <w:t>аукциона</w:t>
      </w:r>
      <w:r>
        <w:rPr>
          <w:rFonts w:eastAsia="Times New Roman"/>
          <w:sz w:val="20"/>
          <w:szCs w:val="20"/>
          <w:lang w:val="en-US"/>
        </w:rPr>
        <w:t>: ОБЛАСТНОЕ КАЗЕННОЕ УЧРЕЖДЕНИЕ "ЦЕНТР ЗАКУПОК КУРСКОЙ ОБЛАСТИ"</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lang w:val="en-US"/>
        </w:rPr>
        <w:t>Заказчик: ОБЛАСТНОЕ БЮДЖЕТНОЕ ПРОФЕССИОНАЛЬНОЕ ОБРАЗОВАТЕЛЬНОЕ УЧРЕЖДЕНИЕ "КУРСКИЙ ГОСУДАРСТВЕННЫЙ ПОЛИТЕХНИЧЕСКИЙ КОЛЛЕДЖ"</w:t>
      </w:r>
    </w:p>
    <w:p>
      <w:pPr>
        <w:pStyle w:val="Normal"/>
        <w:rPr>
          <w:rFonts w:eastAsia="Times New Roman"/>
          <w:sz w:val="20"/>
          <w:szCs w:val="20"/>
          <w:lang w:val="en-US"/>
        </w:rPr>
      </w:pPr>
      <w:r>
        <w:rPr>
          <w:rFonts w:eastAsia="Times New Roman"/>
          <w:sz w:val="20"/>
          <w:szCs w:val="20"/>
          <w:lang w:val="en-US"/>
        </w:rPr>
      </w:r>
    </w:p>
    <w:p>
      <w:pPr>
        <w:pStyle w:val="Normal"/>
        <w:rPr>
          <w:sz w:val="20"/>
          <w:szCs w:val="20"/>
          <w:lang w:val="en-US"/>
        </w:rPr>
      </w:pPr>
      <w:r>
        <w:rPr>
          <w:rFonts w:eastAsia="Times New Roman"/>
          <w:sz w:val="20"/>
          <w:szCs w:val="20"/>
        </w:rPr>
        <w:t>Наименование</w:t>
      </w:r>
      <w:r>
        <w:rPr>
          <w:rFonts w:eastAsia="Times New Roman"/>
          <w:sz w:val="20"/>
          <w:szCs w:val="20"/>
          <w:lang w:val="en-US"/>
        </w:rPr>
        <w:t xml:space="preserve"> </w:t>
      </w:r>
      <w:r>
        <w:rPr>
          <w:rFonts w:eastAsia="Times New Roman"/>
          <w:sz w:val="20"/>
          <w:szCs w:val="20"/>
        </w:rPr>
        <w:t>закупки</w:t>
      </w:r>
      <w:r>
        <w:rPr>
          <w:rFonts w:eastAsia="Times New Roman"/>
          <w:sz w:val="20"/>
          <w:szCs w:val="20"/>
          <w:lang w:val="en-US"/>
        </w:rPr>
        <w:t xml:space="preserve">: Поставка специальной одежды </w:t>
      </w:r>
    </w:p>
    <w:p>
      <w:pPr>
        <w:pStyle w:val="Normal"/>
        <w:rPr>
          <w:rFonts w:eastAsia="Times New Roman"/>
          <w:sz w:val="20"/>
          <w:szCs w:val="20"/>
          <w:lang w:val="en-US"/>
        </w:rPr>
      </w:pPr>
      <w:r>
        <w:rPr>
          <w:rFonts w:eastAsia="Times New Roman"/>
          <w:sz w:val="20"/>
          <w:szCs w:val="20"/>
          <w:lang w:val="en-US"/>
        </w:rPr>
      </w:r>
    </w:p>
    <w:p>
      <w:pPr>
        <w:pStyle w:val="Normal"/>
        <w:rPr>
          <w:rFonts w:eastAsia="Times New Roman"/>
          <w:sz w:val="20"/>
          <w:szCs w:val="20"/>
        </w:rPr>
      </w:pPr>
      <w:r>
        <w:rPr>
          <w:rFonts w:eastAsia="Times New Roman"/>
          <w:sz w:val="20"/>
          <w:szCs w:val="20"/>
        </w:rPr>
        <w:t>Идентификационный код закупки: 202463201788846320100100560011412244</w:t>
      </w:r>
    </w:p>
    <w:p>
      <w:pPr>
        <w:pStyle w:val="Normal"/>
        <w:rPr/>
      </w:pPr>
      <w:r>
        <w:rPr/>
      </w:r>
    </w:p>
    <w:p>
      <w:pPr>
        <w:pStyle w:val="Normal"/>
        <w:rPr/>
      </w:pPr>
      <w:r>
        <w:rPr>
          <w:rFonts w:eastAsia="Times New Roman"/>
          <w:sz w:val="20"/>
          <w:szCs w:val="20"/>
        </w:rPr>
        <w:t>Начальная (максимальная) цена контракта/Максимальное значение цены контракта: 66 008,00 руб.</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Снижение</w:t>
      </w:r>
      <w:r>
        <w:rPr>
          <w:rFonts w:eastAsia="Times New Roman"/>
          <w:sz w:val="20"/>
          <w:szCs w:val="20"/>
          <w:lang w:val="en-US"/>
        </w:rPr>
        <w:t xml:space="preserve"> </w:t>
      </w:r>
      <w:r>
        <w:rPr>
          <w:rFonts w:eastAsia="Times New Roman"/>
          <w:sz w:val="20"/>
          <w:szCs w:val="20"/>
        </w:rPr>
        <w:t>НМЦК</w:t>
      </w:r>
      <w:r>
        <w:rPr>
          <w:rFonts w:eastAsia="Times New Roman"/>
          <w:sz w:val="20"/>
          <w:szCs w:val="20"/>
          <w:lang w:val="en-US"/>
        </w:rPr>
        <w:t>, %: 2.00</w:t>
      </w:r>
    </w:p>
    <w:p>
      <w:pPr>
        <w:pStyle w:val="Normal"/>
        <w:rPr>
          <w:rFonts w:eastAsia="Times New Roman"/>
          <w:sz w:val="20"/>
          <w:szCs w:val="20"/>
          <w:lang w:val="en-US"/>
        </w:rPr>
      </w:pPr>
      <w:r>
        <w:rPr>
          <w:rFonts w:eastAsia="Times New Roman"/>
          <w:sz w:val="20"/>
          <w:szCs w:val="20"/>
          <w:lang w:val="en-US"/>
        </w:rPr>
      </w:r>
    </w:p>
    <w:p>
      <w:pPr>
        <w:pStyle w:val="Normal"/>
        <w:rPr>
          <w:sz w:val="20"/>
          <w:szCs w:val="20"/>
        </w:rPr>
      </w:pPr>
      <w:r>
        <w:rPr>
          <w:rFonts w:eastAsia="Times New Roman"/>
          <w:sz w:val="20"/>
          <w:szCs w:val="20"/>
        </w:rPr>
        <w:t>Состав аукционной комиссии:</w:t>
      </w:r>
    </w:p>
    <w:tbl>
      <w:tblPr>
        <w:tblW w:w="5000" w:type="pct"/>
        <w:jc w:val="left"/>
        <w:tblInd w:w="-14" w:type="dxa"/>
        <w:tblCellMar>
          <w:top w:w="15" w:type="dxa"/>
          <w:left w:w="15" w:type="dxa"/>
          <w:bottom w:w="15" w:type="dxa"/>
          <w:right w:w="15" w:type="dxa"/>
        </w:tblCellMar>
        <w:tblLook w:firstRow="1" w:noVBand="1" w:lastRow="0" w:firstColumn="1" w:lastColumn="0" w:noHBand="0" w:val="04a0"/>
      </w:tblPr>
      <w:tblGrid>
        <w:gridCol w:w="4960"/>
        <w:gridCol w:w="4961"/>
      </w:tblGrid>
      <w:tr>
        <w:trPr/>
        <w:tc>
          <w:tcPr>
            <w:tcW w:w="4960" w:type="dxa"/>
            <w:tcBorders/>
            <w:shd w:color="auto" w:fill="auto" w:val="clear"/>
          </w:tcPr>
          <w:p>
            <w:pPr>
              <w:pStyle w:val="Normal"/>
              <w:rPr>
                <w:sz w:val="20"/>
                <w:szCs w:val="20"/>
                <w:lang w:val="en-US"/>
              </w:rPr>
            </w:pPr>
            <w:r>
              <w:rPr>
                <w:sz w:val="20"/>
                <w:szCs w:val="20"/>
                <w:lang w:val="en-US"/>
              </w:rPr>
              <w:t>Председатель комиссии</w:t>
            </w:r>
          </w:p>
        </w:tc>
        <w:tc>
          <w:tcPr>
            <w:tcW w:w="4961" w:type="dxa"/>
            <w:tcBorders/>
            <w:shd w:color="auto" w:fill="auto" w:val="clear"/>
          </w:tcPr>
          <w:p>
            <w:pPr>
              <w:pStyle w:val="Normal"/>
              <w:rPr>
                <w:sz w:val="20"/>
                <w:szCs w:val="20"/>
              </w:rPr>
            </w:pPr>
            <w:r>
              <w:rPr>
                <w:sz w:val="20"/>
                <w:szCs w:val="20"/>
                <w:lang w:val="en-US"/>
              </w:rPr>
              <w:t>Полторацкий Алексей Николаевич</w:t>
            </w:r>
          </w:p>
        </w:tc>
      </w:tr>
      <w:tr>
        <w:trPr/>
        <w:tc>
          <w:tcPr>
            <w:tcW w:w="4960" w:type="dxa"/>
            <w:tcBorders/>
            <w:shd w:color="auto" w:fill="auto" w:val="clear"/>
          </w:tcPr>
          <w:p>
            <w:pPr>
              <w:pStyle w:val="Normal"/>
              <w:rPr>
                <w:sz w:val="20"/>
                <w:szCs w:val="20"/>
                <w:lang w:val="en-US"/>
              </w:rPr>
            </w:pPr>
            <w:r>
              <w:rPr>
                <w:sz w:val="20"/>
                <w:szCs w:val="20"/>
                <w:lang w:val="en-US"/>
              </w:rPr>
              <w:t>Зам. председателя комиссии</w:t>
            </w:r>
          </w:p>
        </w:tc>
        <w:tc>
          <w:tcPr>
            <w:tcW w:w="4961" w:type="dxa"/>
            <w:tcBorders/>
            <w:shd w:color="auto" w:fill="auto" w:val="clear"/>
          </w:tcPr>
          <w:p>
            <w:pPr>
              <w:pStyle w:val="Normal"/>
              <w:rPr>
                <w:sz w:val="20"/>
                <w:szCs w:val="20"/>
              </w:rPr>
            </w:pPr>
            <w:r>
              <w:rPr>
                <w:sz w:val="20"/>
                <w:szCs w:val="20"/>
                <w:lang w:val="en-US"/>
              </w:rPr>
              <w:t>Мухина Елена Юрьевна</w:t>
            </w:r>
          </w:p>
        </w:tc>
      </w:tr>
      <w:tr>
        <w:trPr/>
        <w:tc>
          <w:tcPr>
            <w:tcW w:w="4960" w:type="dxa"/>
            <w:tcBorders/>
            <w:shd w:color="auto" w:fill="auto" w:val="clear"/>
          </w:tcPr>
          <w:p>
            <w:pPr>
              <w:pStyle w:val="Normal"/>
              <w:rPr>
                <w:sz w:val="20"/>
                <w:szCs w:val="20"/>
                <w:lang w:val="en-US"/>
              </w:rPr>
            </w:pPr>
            <w:r>
              <w:rPr>
                <w:sz w:val="20"/>
                <w:szCs w:val="20"/>
                <w:lang w:val="en-US"/>
              </w:rPr>
              <w:t>Член комиссии</w:t>
            </w:r>
          </w:p>
        </w:tc>
        <w:tc>
          <w:tcPr>
            <w:tcW w:w="4961" w:type="dxa"/>
            <w:tcBorders/>
            <w:shd w:color="auto" w:fill="auto" w:val="clear"/>
          </w:tcPr>
          <w:p>
            <w:pPr>
              <w:pStyle w:val="Normal"/>
              <w:rPr>
                <w:sz w:val="20"/>
                <w:szCs w:val="20"/>
              </w:rPr>
            </w:pPr>
            <w:r>
              <w:rPr>
                <w:sz w:val="20"/>
                <w:szCs w:val="20"/>
                <w:lang w:val="en-US"/>
              </w:rPr>
              <w:t>Локтионова Юлия Эдуардовна</w:t>
            </w:r>
          </w:p>
        </w:tc>
      </w:tr>
      <w:tr>
        <w:trPr/>
        <w:tc>
          <w:tcPr>
            <w:tcW w:w="4960" w:type="dxa"/>
            <w:tcBorders/>
            <w:shd w:color="auto" w:fill="auto" w:val="clear"/>
          </w:tcPr>
          <w:p>
            <w:pPr>
              <w:pStyle w:val="Normal"/>
              <w:rPr>
                <w:sz w:val="20"/>
                <w:szCs w:val="20"/>
                <w:lang w:val="en-US"/>
              </w:rPr>
            </w:pPr>
            <w:r>
              <w:rPr>
                <w:sz w:val="20"/>
                <w:szCs w:val="20"/>
                <w:lang w:val="en-US"/>
              </w:rPr>
              <w:t>Член комиссии</w:t>
            </w:r>
          </w:p>
        </w:tc>
        <w:tc>
          <w:tcPr>
            <w:tcW w:w="4961" w:type="dxa"/>
            <w:tcBorders/>
            <w:shd w:color="auto" w:fill="auto" w:val="clear"/>
          </w:tcPr>
          <w:p>
            <w:pPr>
              <w:pStyle w:val="Normal"/>
              <w:rPr>
                <w:sz w:val="20"/>
                <w:szCs w:val="20"/>
              </w:rPr>
            </w:pPr>
            <w:r>
              <w:rPr>
                <w:sz w:val="20"/>
                <w:szCs w:val="20"/>
                <w:lang w:val="en-US"/>
              </w:rPr>
              <w:t>Лазарева Анастасия Александровна</w:t>
            </w:r>
          </w:p>
        </w:tc>
      </w:tr>
      <w:tr>
        <w:trPr/>
        <w:tc>
          <w:tcPr>
            <w:tcW w:w="4960" w:type="dxa"/>
            <w:tcBorders/>
            <w:shd w:color="auto" w:fill="auto" w:val="clear"/>
          </w:tcPr>
          <w:p>
            <w:pPr>
              <w:pStyle w:val="Normal"/>
              <w:rPr>
                <w:sz w:val="20"/>
                <w:szCs w:val="20"/>
                <w:lang w:val="en-US"/>
              </w:rPr>
            </w:pPr>
            <w:r>
              <w:rPr>
                <w:sz w:val="20"/>
                <w:szCs w:val="20"/>
                <w:lang w:val="en-US"/>
              </w:rPr>
              <w:t>Секретарь комиссии</w:t>
            </w:r>
          </w:p>
        </w:tc>
        <w:tc>
          <w:tcPr>
            <w:tcW w:w="4961" w:type="dxa"/>
            <w:tcBorders/>
            <w:shd w:color="auto" w:fill="auto" w:val="clear"/>
          </w:tcPr>
          <w:p>
            <w:pPr>
              <w:pStyle w:val="Normal"/>
              <w:rPr>
                <w:sz w:val="20"/>
                <w:szCs w:val="20"/>
              </w:rPr>
            </w:pPr>
            <w:r>
              <w:rPr>
                <w:sz w:val="20"/>
                <w:szCs w:val="20"/>
                <w:lang w:val="en-US"/>
              </w:rPr>
              <w:t>Верютина Олеся Николаевна</w:t>
            </w:r>
          </w:p>
        </w:tc>
      </w:tr>
    </w:tbl>
    <w:p>
      <w:pPr>
        <w:pStyle w:val="Normal"/>
        <w:rPr>
          <w:rFonts w:eastAsia="Times New Roman"/>
          <w:sz w:val="20"/>
          <w:szCs w:val="20"/>
        </w:rPr>
      </w:pPr>
      <w:r>
        <w:rPr>
          <w:rFonts w:eastAsia="Times New Roman"/>
          <w:sz w:val="20"/>
          <w:szCs w:val="20"/>
        </w:rPr>
      </w:r>
    </w:p>
    <w:p>
      <w:pPr>
        <w:pStyle w:val="Normal"/>
        <w:rPr>
          <w:sz w:val="20"/>
          <w:szCs w:val="20"/>
        </w:rPr>
      </w:pPr>
      <w:r>
        <w:rPr>
          <w:rFonts w:eastAsia="Times New Roman"/>
          <w:sz w:val="20"/>
          <w:szCs w:val="20"/>
        </w:rPr>
        <w:t>На заседании аукционной комиссии присутствуют:</w:t>
      </w:r>
    </w:p>
    <w:tbl>
      <w:tblPr>
        <w:tblW w:w="5000" w:type="pct"/>
        <w:jc w:val="left"/>
        <w:tblInd w:w="-14" w:type="dxa"/>
        <w:tblCellMar>
          <w:top w:w="15" w:type="dxa"/>
          <w:left w:w="15" w:type="dxa"/>
          <w:bottom w:w="15" w:type="dxa"/>
          <w:right w:w="15" w:type="dxa"/>
        </w:tblCellMar>
        <w:tblLook w:firstRow="1" w:noVBand="1" w:lastRow="0" w:firstColumn="1" w:lastColumn="0" w:noHBand="0" w:val="04a0"/>
      </w:tblPr>
      <w:tblGrid>
        <w:gridCol w:w="4960"/>
        <w:gridCol w:w="4961"/>
      </w:tblGrid>
      <w:tr>
        <w:trPr/>
        <w:tc>
          <w:tcPr>
            <w:tcW w:w="4960" w:type="dxa"/>
            <w:tcBorders/>
            <w:shd w:color="auto" w:fill="auto" w:val="clear"/>
          </w:tcPr>
          <w:p>
            <w:pPr>
              <w:pStyle w:val="Normal"/>
              <w:rPr>
                <w:sz w:val="20"/>
                <w:szCs w:val="20"/>
              </w:rPr>
            </w:pPr>
            <w:r>
              <w:rPr>
                <w:sz w:val="20"/>
                <w:szCs w:val="20"/>
                <w:lang w:val="en-US"/>
              </w:rPr>
              <w:t>Председатель комиссии</w:t>
            </w:r>
          </w:p>
        </w:tc>
        <w:tc>
          <w:tcPr>
            <w:tcW w:w="4961" w:type="dxa"/>
            <w:tcBorders/>
            <w:shd w:color="auto" w:fill="auto" w:val="clear"/>
          </w:tcPr>
          <w:p>
            <w:pPr>
              <w:pStyle w:val="Normal"/>
              <w:rPr>
                <w:sz w:val="20"/>
                <w:szCs w:val="20"/>
              </w:rPr>
            </w:pPr>
            <w:r>
              <w:rPr>
                <w:sz w:val="20"/>
                <w:szCs w:val="20"/>
                <w:lang w:val="en-US"/>
              </w:rPr>
              <w:t>Полторацкий Алексей Николаевич</w:t>
            </w:r>
          </w:p>
        </w:tc>
      </w:tr>
      <w:tr>
        <w:trPr/>
        <w:tc>
          <w:tcPr>
            <w:tcW w:w="4960" w:type="dxa"/>
            <w:tcBorders/>
            <w:shd w:color="auto" w:fill="auto" w:val="clear"/>
          </w:tcPr>
          <w:p>
            <w:pPr>
              <w:pStyle w:val="Normal"/>
              <w:rPr>
                <w:sz w:val="20"/>
                <w:szCs w:val="20"/>
              </w:rPr>
            </w:pPr>
            <w:r>
              <w:rPr>
                <w:sz w:val="20"/>
                <w:szCs w:val="20"/>
                <w:lang w:val="en-US"/>
              </w:rPr>
              <w:t>Зам. председателя комиссии</w:t>
            </w:r>
          </w:p>
        </w:tc>
        <w:tc>
          <w:tcPr>
            <w:tcW w:w="4961" w:type="dxa"/>
            <w:tcBorders/>
            <w:shd w:color="auto" w:fill="auto" w:val="clear"/>
          </w:tcPr>
          <w:p>
            <w:pPr>
              <w:pStyle w:val="Normal"/>
              <w:rPr>
                <w:sz w:val="20"/>
                <w:szCs w:val="20"/>
              </w:rPr>
            </w:pPr>
            <w:r>
              <w:rPr>
                <w:sz w:val="20"/>
                <w:szCs w:val="20"/>
                <w:lang w:val="en-US"/>
              </w:rPr>
              <w:t>Мухина Елена Юрьевна</w:t>
            </w:r>
          </w:p>
        </w:tc>
      </w:tr>
      <w:tr>
        <w:trPr/>
        <w:tc>
          <w:tcPr>
            <w:tcW w:w="4960" w:type="dxa"/>
            <w:tcBorders/>
            <w:shd w:color="auto" w:fill="auto" w:val="clear"/>
          </w:tcPr>
          <w:p>
            <w:pPr>
              <w:pStyle w:val="Normal"/>
              <w:rPr>
                <w:sz w:val="20"/>
                <w:szCs w:val="20"/>
              </w:rPr>
            </w:pPr>
            <w:r>
              <w:rPr>
                <w:sz w:val="20"/>
                <w:szCs w:val="20"/>
                <w:lang w:val="en-US"/>
              </w:rPr>
              <w:t>Член комиссии</w:t>
            </w:r>
          </w:p>
        </w:tc>
        <w:tc>
          <w:tcPr>
            <w:tcW w:w="4961" w:type="dxa"/>
            <w:tcBorders/>
            <w:shd w:color="auto" w:fill="auto" w:val="clear"/>
          </w:tcPr>
          <w:p>
            <w:pPr>
              <w:pStyle w:val="Normal"/>
              <w:rPr>
                <w:sz w:val="20"/>
                <w:szCs w:val="20"/>
              </w:rPr>
            </w:pPr>
            <w:r>
              <w:rPr>
                <w:sz w:val="20"/>
                <w:szCs w:val="20"/>
                <w:lang w:val="en-US"/>
              </w:rPr>
              <w:t>Локтионова Юлия Эдуардовна</w:t>
            </w:r>
          </w:p>
        </w:tc>
      </w:tr>
      <w:tr>
        <w:trPr/>
        <w:tc>
          <w:tcPr>
            <w:tcW w:w="4960" w:type="dxa"/>
            <w:tcBorders/>
            <w:shd w:color="auto" w:fill="auto" w:val="clear"/>
          </w:tcPr>
          <w:p>
            <w:pPr>
              <w:pStyle w:val="Normal"/>
              <w:rPr>
                <w:sz w:val="20"/>
                <w:szCs w:val="20"/>
              </w:rPr>
            </w:pPr>
            <w:r>
              <w:rPr>
                <w:sz w:val="20"/>
                <w:szCs w:val="20"/>
                <w:lang w:val="en-US"/>
              </w:rPr>
              <w:t>Член комиссии</w:t>
            </w:r>
          </w:p>
        </w:tc>
        <w:tc>
          <w:tcPr>
            <w:tcW w:w="4961" w:type="dxa"/>
            <w:tcBorders/>
            <w:shd w:color="auto" w:fill="auto" w:val="clear"/>
          </w:tcPr>
          <w:p>
            <w:pPr>
              <w:pStyle w:val="Normal"/>
              <w:rPr>
                <w:sz w:val="20"/>
                <w:szCs w:val="20"/>
              </w:rPr>
            </w:pPr>
            <w:r>
              <w:rPr>
                <w:sz w:val="20"/>
                <w:szCs w:val="20"/>
                <w:lang w:val="en-US"/>
              </w:rPr>
              <w:t>Лазарева Анастасия Александровна</w:t>
            </w:r>
          </w:p>
        </w:tc>
      </w:tr>
      <w:tr>
        <w:trPr/>
        <w:tc>
          <w:tcPr>
            <w:tcW w:w="4960" w:type="dxa"/>
            <w:tcBorders/>
            <w:shd w:color="auto" w:fill="auto" w:val="clear"/>
          </w:tcPr>
          <w:p>
            <w:pPr>
              <w:pStyle w:val="Normal"/>
              <w:rPr>
                <w:sz w:val="20"/>
                <w:szCs w:val="20"/>
              </w:rPr>
            </w:pPr>
            <w:r>
              <w:rPr>
                <w:sz w:val="20"/>
                <w:szCs w:val="20"/>
                <w:lang w:val="en-US"/>
              </w:rPr>
              <w:t>Секретарь комиссии</w:t>
            </w:r>
          </w:p>
        </w:tc>
        <w:tc>
          <w:tcPr>
            <w:tcW w:w="4961" w:type="dxa"/>
            <w:tcBorders/>
            <w:shd w:color="auto" w:fill="auto" w:val="clear"/>
          </w:tcPr>
          <w:p>
            <w:pPr>
              <w:pStyle w:val="Normal"/>
              <w:rPr>
                <w:sz w:val="20"/>
                <w:szCs w:val="20"/>
              </w:rPr>
            </w:pPr>
            <w:r>
              <w:rPr>
                <w:sz w:val="20"/>
                <w:szCs w:val="20"/>
                <w:lang w:val="en-US"/>
              </w:rPr>
              <w:t>Верютина Олеся Николаевна</w:t>
            </w:r>
          </w:p>
        </w:tc>
      </w:tr>
    </w:tbl>
    <w:p>
      <w:pPr>
        <w:pStyle w:val="Normal"/>
        <w:rPr>
          <w:rFonts w:eastAsia="Times New Roman"/>
          <w:sz w:val="20"/>
          <w:szCs w:val="20"/>
        </w:rPr>
      </w:pPr>
      <w:r>
        <w:rPr>
          <w:rFonts w:eastAsia="Times New Roman"/>
          <w:sz w:val="20"/>
          <w:szCs w:val="20"/>
        </w:rPr>
      </w:r>
    </w:p>
    <w:p>
      <w:pPr>
        <w:pStyle w:val="Normal"/>
        <w:jc w:val="both"/>
        <w:rPr/>
      </w:pPr>
      <w:r>
        <w:rPr>
          <w:rFonts w:eastAsia="Times New Roman"/>
          <w:sz w:val="20"/>
          <w:szCs w:val="20"/>
        </w:rPr>
        <w:t>Заседание комиссии правомочно, кворум имеется.</w:t>
      </w:r>
    </w:p>
    <w:p>
      <w:pPr>
        <w:pStyle w:val="Normal"/>
        <w:rPr>
          <w:rFonts w:eastAsia="Times New Roman"/>
          <w:sz w:val="20"/>
          <w:szCs w:val="20"/>
        </w:rPr>
      </w:pPr>
      <w:r>
        <w:rPr>
          <w:rFonts w:eastAsia="Times New Roman"/>
          <w:sz w:val="20"/>
          <w:szCs w:val="20"/>
        </w:rPr>
      </w:r>
    </w:p>
    <w:p>
      <w:pPr>
        <w:pStyle w:val="Normal"/>
        <w:rPr>
          <w:sz w:val="20"/>
          <w:szCs w:val="20"/>
        </w:rPr>
      </w:pPr>
      <w:r>
        <w:rPr>
          <w:rFonts w:eastAsia="Times New Roman"/>
          <w:sz w:val="20"/>
          <w:szCs w:val="20"/>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pPr>
        <w:pStyle w:val="Normal"/>
        <w:rPr>
          <w:rFonts w:eastAsia="Times New Roman"/>
          <w:sz w:val="20"/>
          <w:szCs w:val="20"/>
        </w:rPr>
      </w:pPr>
      <w:r>
        <w:rPr>
          <w:rFonts w:eastAsia="Times New Roman"/>
          <w:sz w:val="20"/>
          <w:szCs w:val="20"/>
        </w:rPr>
      </w:r>
    </w:p>
    <w:tbl>
      <w:tblPr>
        <w:tblW w:w="9977" w:type="dxa"/>
        <w:jc w:val="left"/>
        <w:tblInd w:w="0" w:type="dxa"/>
        <w:tblCellMar>
          <w:top w:w="55" w:type="dxa"/>
          <w:left w:w="55" w:type="dxa"/>
          <w:bottom w:w="55" w:type="dxa"/>
          <w:right w:w="55" w:type="dxa"/>
        </w:tblCellMar>
        <w:tblLook w:firstRow="1" w:noVBand="1" w:lastRow="0" w:firstColumn="1" w:lastColumn="0" w:noHBand="0" w:val="04a0"/>
      </w:tblPr>
      <w:tblGrid>
        <w:gridCol w:w="3034"/>
        <w:gridCol w:w="1668"/>
        <w:gridCol w:w="1473"/>
        <w:gridCol w:w="1363"/>
        <w:gridCol w:w="2439"/>
      </w:tblGrid>
      <w:tr>
        <w:trPr>
          <w:trHeight w:val="285" w:hRule="atLeast"/>
        </w:trPr>
        <w:tc>
          <w:tcPr>
            <w:tcW w:w="9977" w:type="dxa"/>
            <w:gridSpan w:val="5"/>
            <w:tcBorders/>
            <w:shd w:color="auto" w:fill="auto" w:val="clear"/>
          </w:tcPr>
          <w:p>
            <w:pPr>
              <w:pStyle w:val="Normal"/>
              <w:rPr>
                <w:sz w:val="20"/>
                <w:szCs w:val="20"/>
              </w:rPr>
            </w:pPr>
            <w:r>
              <w:rPr>
                <w:rFonts w:eastAsia="Times New Roman"/>
                <w:sz w:val="20"/>
                <w:szCs w:val="20"/>
              </w:rPr>
              <w:t>Сведения о решении аукционной комиссии:</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Normal"/>
              <w:rPr>
                <w:sz w:val="20"/>
                <w:szCs w:val="20"/>
              </w:rPr>
            </w:pPr>
            <w:r>
              <w:rPr>
                <w:rFonts w:eastAsia="Times New Roman"/>
                <w:sz w:val="20"/>
                <w:szCs w:val="20"/>
              </w:rPr>
              <w:t>Идентификационный номер</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rFonts w:eastAsia="Times New Roman"/>
              </w:rPr>
            </w:pPr>
            <w:r>
              <w:rPr>
                <w:rFonts w:eastAsia="Times New Roman"/>
                <w:sz w:val="20"/>
                <w:szCs w:val="20"/>
              </w:rPr>
              <w:t>Наименование / ИНН участника аукциона</w:t>
            </w:r>
          </w:p>
        </w:tc>
        <w:tc>
          <w:tcPr>
            <w:tcW w:w="1473"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rFonts w:eastAsia="Times New Roman"/>
              </w:rPr>
            </w:pPr>
            <w:bookmarkStart w:id="1" w:name="__DdeLink__148_3082067383"/>
            <w:bookmarkEnd w:id="1"/>
            <w:r>
              <w:rPr>
                <w:rFonts w:eastAsia="Times New Roman"/>
                <w:sz w:val="20"/>
                <w:szCs w:val="20"/>
              </w:rPr>
              <w:t>Минимальное предложение о цене контракта, сделанное участником аукциона</w:t>
            </w:r>
          </w:p>
        </w:tc>
        <w:tc>
          <w:tcPr>
            <w:tcW w:w="1363" w:type="dxa"/>
            <w:tcBorders>
              <w:top w:val="single" w:sz="2" w:space="0" w:color="000001"/>
              <w:left w:val="single" w:sz="2" w:space="0" w:color="000001"/>
              <w:bottom w:val="single" w:sz="2" w:space="0" w:color="000001"/>
            </w:tcBorders>
            <w:shd w:color="auto" w:fill="auto" w:val="clear"/>
            <w:tcMar>
              <w:left w:w="0" w:type="dxa"/>
            </w:tcMar>
          </w:tcPr>
          <w:p>
            <w:pPr>
              <w:pStyle w:val="Normal"/>
              <w:rPr>
                <w:sz w:val="20"/>
                <w:szCs w:val="20"/>
              </w:rPr>
            </w:pPr>
            <w:r>
              <w:rPr>
                <w:rFonts w:eastAsia="Times New Roman"/>
                <w:sz w:val="20"/>
                <w:szCs w:val="20"/>
              </w:rPr>
              <w:t xml:space="preserve">Решение </w:t>
            </w:r>
          </w:p>
        </w:tc>
        <w:tc>
          <w:tcPr>
            <w:tcW w:w="243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rPr>
            </w:pPr>
            <w:r>
              <w:rPr>
                <w:rFonts w:eastAsia="Times New Roman"/>
                <w:sz w:val="20"/>
                <w:szCs w:val="20"/>
              </w:rPr>
              <w:t>Обоснование</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lang w:val="en-US"/>
              </w:rPr>
            </w:pPr>
            <w:r>
              <w:rPr>
                <w:sz w:val="20"/>
                <w:szCs w:val="20"/>
                <w:lang w:val="en-US"/>
              </w:rPr>
              <w:t>EA-59011</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ПРОХОРЕНКО АНДРЕЙ СЕРГЕЕВИЧ / 682014544555</w:t>
            </w:r>
          </w:p>
        </w:tc>
        <w:tc>
          <w:tcPr>
            <w:tcW w:w="1473"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64 687,84 руб.</w:t>
            </w:r>
          </w:p>
        </w:tc>
        <w:tc>
          <w:tcPr>
            <w:tcW w:w="1363"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c>
          <w:tcPr>
            <w:tcW w:w="243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lang w:val="en-US"/>
              </w:rPr>
            </w:pPr>
            <w:r>
              <w:rPr>
                <w:sz w:val="20"/>
                <w:szCs w:val="20"/>
                <w:lang w:val="en-US"/>
              </w:rPr>
              <w:t>EA-58839</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"КУРСКТЕКС  ПЛЮС" / 4632016468</w:t>
            </w:r>
          </w:p>
        </w:tc>
        <w:tc>
          <w:tcPr>
            <w:tcW w:w="1473"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65 017,87 руб.</w:t>
            </w:r>
          </w:p>
        </w:tc>
        <w:tc>
          <w:tcPr>
            <w:tcW w:w="1363"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c>
          <w:tcPr>
            <w:tcW w:w="243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на основании нормативных правовых актов, принятых в соответствии со статьей 14 Федерального закона №44-ФЗ</w:t>
              <w:br/>
              <w:br/>
              <w:t>Пунктом 37 аукционной документации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установлены ограничения в соответствии с Постановлением Правительства РФ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 38 аукционной документации (Установить,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Информация о реестровых записях о товаре включается в контракт. ) установлены документы, предусмотренные нормативными правовыми актами, принятыми в соответствии со статьей 14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Участник закупки не предоставил  Выписку из реестра российской промышленной продукции. Таким образом, участник закупки не представил информацию, соответствующую требованиям документации об электронном аукционе. </w:t>
            </w:r>
          </w:p>
        </w:tc>
      </w:tr>
    </w:tbl>
    <w:p>
      <w:pPr>
        <w:pStyle w:val="Normal"/>
        <w:rPr>
          <w:rFonts w:eastAsia="Times New Roman"/>
          <w:sz w:val="20"/>
          <w:szCs w:val="20"/>
        </w:rPr>
      </w:pPr>
      <w:r>
        <w:rPr>
          <w:rFonts w:eastAsia="Times New Roman"/>
          <w:sz w:val="20"/>
          <w:szCs w:val="20"/>
        </w:rPr>
      </w:r>
    </w:p>
    <w:tbl>
      <w:tblPr>
        <w:tblW w:w="9977" w:type="dxa"/>
        <w:jc w:val="left"/>
        <w:tblInd w:w="0" w:type="dxa"/>
        <w:tblCellMar>
          <w:top w:w="55" w:type="dxa"/>
          <w:left w:w="55" w:type="dxa"/>
          <w:bottom w:w="55" w:type="dxa"/>
          <w:right w:w="55" w:type="dxa"/>
        </w:tblCellMar>
        <w:tblLook w:firstRow="1" w:noVBand="1" w:lastRow="0" w:firstColumn="1" w:lastColumn="0" w:noHBand="0" w:val="04a0"/>
      </w:tblPr>
      <w:tblGrid>
        <w:gridCol w:w="2831"/>
        <w:gridCol w:w="1687"/>
        <w:gridCol w:w="1809"/>
        <w:gridCol w:w="1909"/>
        <w:gridCol w:w="1741"/>
      </w:tblGrid>
      <w:tr>
        <w:trPr/>
        <w:tc>
          <w:tcPr>
            <w:tcW w:w="9977" w:type="dxa"/>
            <w:gridSpan w:val="5"/>
            <w:tcBorders/>
            <w:shd w:color="auto" w:fill="auto" w:val="clear"/>
          </w:tcPr>
          <w:p>
            <w:pPr>
              <w:pStyle w:val="Normal"/>
              <w:ind w:left="-45" w:hanging="0"/>
              <w:rPr>
                <w:sz w:val="20"/>
                <w:szCs w:val="20"/>
              </w:rPr>
            </w:pPr>
            <w:r>
              <w:rPr>
                <w:rFonts w:eastAsia="Times New Roman"/>
                <w:sz w:val="20"/>
                <w:szCs w:val="20"/>
              </w:rPr>
              <w:t>Сведения о решении членов аукционной комиссии:</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Идентификационный номер</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Наименование / ИНН участника аукциона</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Минимальное предложение о цене контракта, сделанное участником аукциона</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Ф.И.О. члена аукционной комиссии</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 xml:space="preserve">Решение </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EA-59011</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ПРОХОРЕНКО АНДРЕЙ СЕРГЕЕВИЧ / 682014544555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64 687,84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EA-59011</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ПРОХОРЕНКО АНДРЕЙ СЕРГЕЕВИЧ / 682014544555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64 687,84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Мухина Елена Юрьевна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EA-59011</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ПРОХОРЕНКО АНДРЕЙ СЕРГЕЕВИЧ / 682014544555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64 687,84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Локтионова Юлия Эдуардовна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EA-59011</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ПРОХОРЕНКО АНДРЕЙ СЕРГЕЕВИЧ / 682014544555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64 687,84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Лазарева Анастасия Александровна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EA-59011</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ПРОХОРЕНКО АНДРЕЙ СЕРГЕЕВИЧ / 682014544555</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64 687,84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Верютина Олеся Николаевна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EA-58839</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"КУРСКТЕКС  ПЛЮС" / 4632016468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65 017,87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Полторацкий Алексей Николаевич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EA-58839</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"КУРСКТЕКС  ПЛЮС" / 4632016468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65 017,87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Мухина Елена Юрьевна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EA-58839</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"КУРСКТЕКС  ПЛЮС" / 4632016468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65 017,87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Локтионова Юлия Эдуардовна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EA-58839</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"КУРСКТЕКС  ПЛЮС" / 4632016468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65 017,87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Лазарева Анастасия Александровна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r>
      <w:tr>
        <w:trPr/>
        <w:tc>
          <w:tcPr>
            <w:tcW w:w="283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EA-58839</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"КУРСКТЕКС  ПЛЮС" / 4632016468</w:t>
            </w:r>
          </w:p>
        </w:tc>
        <w:tc>
          <w:tcPr>
            <w:tcW w:w="18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65 017,87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Верютина Олеся Николаевна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r>
    </w:tbl>
    <w:p>
      <w:pPr>
        <w:pStyle w:val="Normal"/>
        <w:jc w:val="both"/>
        <w:rPr>
          <w:rFonts w:eastAsia="Times New Roman"/>
          <w:sz w:val="20"/>
          <w:szCs w:val="20"/>
          <w:lang w:val="en-US"/>
        </w:rPr>
      </w:pPr>
      <w:r>
        <w:rPr>
          <w:rFonts w:eastAsia="Times New Roman"/>
          <w:sz w:val="20"/>
          <w:szCs w:val="20"/>
          <w:lang w:val="en-US"/>
        </w:rPr>
      </w:r>
    </w:p>
    <w:p>
      <w:pPr>
        <w:pStyle w:val="Normal"/>
        <w:jc w:val="both"/>
        <w:rPr/>
      </w:pPr>
      <w:r>
        <w:rPr>
          <w:rFonts w:eastAsia="Times New Roman"/>
          <w:sz w:val="20"/>
          <w:szCs w:val="20"/>
        </w:rPr>
        <w:t>В результате рассмотрения вторых частей заявок победителем электронного аукциона признается ПРОХОРЕНКО АНДРЕЙ СЕРГЕЕВИЧ, предложивший цену контракта 64 687,84 руб.</w:t>
      </w:r>
    </w:p>
    <w:p>
      <w:pPr>
        <w:pStyle w:val="Normal"/>
        <w:jc w:val="both"/>
        <w:rPr>
          <w:rFonts w:eastAsia="Times New Roman"/>
          <w:sz w:val="20"/>
          <w:szCs w:val="20"/>
        </w:rPr>
      </w:pPr>
      <w:r>
        <w:rPr>
          <w:rFonts w:eastAsia="Times New Roman"/>
          <w:sz w:val="20"/>
          <w:szCs w:val="20"/>
        </w:rPr>
      </w:r>
    </w:p>
    <w:p>
      <w:pPr>
        <w:pStyle w:val="Normal"/>
        <w:jc w:val="both"/>
        <w:rPr/>
      </w:pPr>
      <w:r>
        <w:rPr>
          <w:rFonts w:eastAsia="Times New Roman"/>
          <w:sz w:val="20"/>
          <w:szCs w:val="20"/>
        </w:rPr>
        <w:t>На основании рассмотрения вторых частей заявок на участие в электронном аукционе, а также в соответствии с ч. 10 ст. 69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ПРОХОРЕНКО АНДРЕЙ СЕРГЕЕВИЧ, который предложил наиболее низкую 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pPr>
        <w:pStyle w:val="Normal"/>
        <w:jc w:val="both"/>
        <w:rPr>
          <w:rFonts w:eastAsia="Times New Roman"/>
          <w:sz w:val="20"/>
          <w:szCs w:val="20"/>
          <w:lang w:val="en-US"/>
        </w:rPr>
      </w:pPr>
      <w:r>
        <w:rPr>
          <w:rFonts w:eastAsia="Times New Roman"/>
          <w:sz w:val="20"/>
          <w:szCs w:val="20"/>
          <w:lang w:val="en-US"/>
        </w:rPr>
      </w:r>
    </w:p>
    <w:p>
      <w:pPr>
        <w:pStyle w:val="Normal"/>
        <w:jc w:val="both"/>
        <w:rPr>
          <w:lang w:val="en-US"/>
        </w:rPr>
      </w:pPr>
      <w:r>
        <w:rPr>
          <w:rFonts w:eastAsia="Times New Roman"/>
          <w:sz w:val="20"/>
          <w:szCs w:val="20"/>
          <w:lang w:val="en-US"/>
        </w:rPr>
        <w:t>Электронный аукцион признан не состоявшимся в соответствии с частью 13 статьи 69 Федеральный закон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аукционная комиссия приняла решение о соответствии указанным требованиям только одной второй части заявки на участие в электронном аукционе.</w:t>
      </w:r>
    </w:p>
    <w:p>
      <w:pPr>
        <w:pStyle w:val="Normal"/>
        <w:jc w:val="both"/>
        <w:rPr>
          <w:rFonts w:eastAsia="Times New Roman"/>
          <w:sz w:val="20"/>
          <w:szCs w:val="20"/>
        </w:rPr>
      </w:pPr>
      <w:r>
        <w:rPr>
          <w:rFonts w:eastAsia="Times New Roman"/>
          <w:sz w:val="20"/>
          <w:szCs w:val="20"/>
        </w:rPr>
      </w:r>
    </w:p>
    <w:p>
      <w:pPr>
        <w:pStyle w:val="Normal"/>
        <w:jc w:val="both"/>
        <w:rPr/>
      </w:pPr>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Normal"/>
        <w:jc w:val="both"/>
        <w:rPr>
          <w:rFonts w:eastAsia="Times New Roman"/>
          <w:sz w:val="20"/>
          <w:szCs w:val="20"/>
        </w:rPr>
      </w:pPr>
      <w:r>
        <w:rPr>
          <w:rFonts w:eastAsia="Times New Roman"/>
          <w:sz w:val="20"/>
          <w:szCs w:val="20"/>
        </w:rPr>
      </w:r>
    </w:p>
    <w:p>
      <w:pPr>
        <w:pStyle w:val="Normal"/>
        <w:rPr/>
      </w:pPr>
      <w:r>
        <w:rPr>
          <w:rFonts w:eastAsia="Times New Roman"/>
          <w:sz w:val="20"/>
          <w:szCs w:val="20"/>
        </w:rPr>
        <w:t>Подписи</w:t>
      </w:r>
    </w:p>
    <w:p>
      <w:pPr>
        <w:pStyle w:val="Normal"/>
        <w:rPr>
          <w:rFonts w:eastAsia="Times New Roman"/>
          <w:sz w:val="20"/>
          <w:szCs w:val="20"/>
        </w:rPr>
      </w:pPr>
      <w:r>
        <w:rPr>
          <w:rFonts w:eastAsia="Times New Roman"/>
          <w:sz w:val="20"/>
          <w:szCs w:val="20"/>
        </w:rPr>
      </w:r>
    </w:p>
    <w:tbl>
      <w:tblPr>
        <w:tblW w:w="9922" w:type="dxa"/>
        <w:jc w:val="left"/>
        <w:tblInd w:w="-55" w:type="dxa"/>
        <w:tblCellMar>
          <w:top w:w="55" w:type="dxa"/>
          <w:left w:w="55" w:type="dxa"/>
          <w:bottom w:w="55" w:type="dxa"/>
          <w:right w:w="55" w:type="dxa"/>
        </w:tblCellMar>
        <w:tblLook w:firstRow="1" w:noVBand="1" w:lastRow="0" w:firstColumn="1" w:lastColumn="0" w:noHBand="0" w:val="04a0"/>
      </w:tblPr>
      <w:tblGrid>
        <w:gridCol w:w="3307"/>
        <w:gridCol w:w="3301"/>
        <w:gridCol w:w="3314"/>
      </w:tblGrid>
      <w:tr>
        <w:trPr/>
        <w:tc>
          <w:tcPr>
            <w:tcW w:w="3307" w:type="dxa"/>
            <w:tcBorders/>
            <w:shd w:color="auto" w:fill="auto" w:val="clear"/>
            <w:vAlign w:val="bottom"/>
          </w:tcPr>
          <w:p>
            <w:pPr>
              <w:pStyle w:val="Style23"/>
              <w:rPr/>
            </w:pPr>
            <w:r>
              <w:rPr>
                <w:rFonts w:eastAsia="Times New Roman"/>
                <w:sz w:val="20"/>
                <w:szCs w:val="20"/>
                <w:lang w:val="en-US"/>
              </w:rPr>
              <w:t>Председатель комиссии</w:t>
            </w:r>
          </w:p>
        </w:tc>
        <w:tc>
          <w:tcPr>
            <w:tcW w:w="3301" w:type="dxa"/>
            <w:tcBorders/>
            <w:shd w:color="auto" w:fill="auto" w:val="clear"/>
          </w:tcPr>
          <w:p>
            <w:pPr>
              <w:pStyle w:val="Style23"/>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rPr/>
            </w:pPr>
            <w:r>
              <w:rPr>
                <w:sz w:val="20"/>
                <w:szCs w:val="20"/>
                <w:lang w:val="en-US"/>
              </w:rPr>
              <w:t>Полторацкий Алексей Николаевич</w:t>
            </w:r>
          </w:p>
        </w:tc>
      </w:tr>
      <w:tr>
        <w:trPr/>
        <w:tc>
          <w:tcPr>
            <w:tcW w:w="3307" w:type="dxa"/>
            <w:tcBorders/>
            <w:shd w:color="auto" w:fill="auto" w:val="clear"/>
            <w:vAlign w:val="bottom"/>
          </w:tcPr>
          <w:p>
            <w:pPr>
              <w:pStyle w:val="Style23"/>
              <w:rPr/>
            </w:pPr>
            <w:r>
              <w:rPr>
                <w:rFonts w:eastAsia="Times New Roman"/>
                <w:sz w:val="20"/>
                <w:szCs w:val="20"/>
                <w:lang w:val="en-US"/>
              </w:rPr>
              <w:t>Зам. председателя комиссии</w:t>
            </w:r>
          </w:p>
        </w:tc>
        <w:tc>
          <w:tcPr>
            <w:tcW w:w="3301" w:type="dxa"/>
            <w:tcBorders/>
            <w:shd w:color="auto" w:fill="auto" w:val="clear"/>
          </w:tcPr>
          <w:p>
            <w:pPr>
              <w:pStyle w:val="Style23"/>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rPr/>
            </w:pPr>
            <w:r>
              <w:rPr>
                <w:sz w:val="20"/>
                <w:szCs w:val="20"/>
                <w:lang w:val="en-US"/>
              </w:rPr>
              <w:t>Мухина Елена Юрьевна</w:t>
            </w:r>
          </w:p>
        </w:tc>
      </w:tr>
      <w:tr>
        <w:trPr/>
        <w:tc>
          <w:tcPr>
            <w:tcW w:w="3307" w:type="dxa"/>
            <w:tcBorders/>
            <w:shd w:color="auto" w:fill="auto" w:val="clear"/>
            <w:vAlign w:val="bottom"/>
          </w:tcPr>
          <w:p>
            <w:pPr>
              <w:pStyle w:val="Style23"/>
              <w:rPr/>
            </w:pPr>
            <w:r>
              <w:rPr>
                <w:rFonts w:eastAsia="Times New Roman"/>
                <w:sz w:val="20"/>
                <w:szCs w:val="20"/>
                <w:lang w:val="en-US"/>
              </w:rPr>
              <w:t>Член комиссии</w:t>
            </w:r>
          </w:p>
        </w:tc>
        <w:tc>
          <w:tcPr>
            <w:tcW w:w="3301" w:type="dxa"/>
            <w:tcBorders/>
            <w:shd w:color="auto" w:fill="auto" w:val="clear"/>
          </w:tcPr>
          <w:p>
            <w:pPr>
              <w:pStyle w:val="Style23"/>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rPr/>
            </w:pPr>
            <w:r>
              <w:rPr>
                <w:sz w:val="20"/>
                <w:szCs w:val="20"/>
                <w:lang w:val="en-US"/>
              </w:rPr>
              <w:t>Локтионова Юлия Эдуардовна</w:t>
            </w:r>
          </w:p>
        </w:tc>
      </w:tr>
      <w:tr>
        <w:trPr/>
        <w:tc>
          <w:tcPr>
            <w:tcW w:w="3307" w:type="dxa"/>
            <w:tcBorders/>
            <w:shd w:color="auto" w:fill="auto" w:val="clear"/>
            <w:vAlign w:val="bottom"/>
          </w:tcPr>
          <w:p>
            <w:pPr>
              <w:pStyle w:val="Style23"/>
              <w:rPr/>
            </w:pPr>
            <w:r>
              <w:rPr>
                <w:rFonts w:eastAsia="Times New Roman"/>
                <w:sz w:val="20"/>
                <w:szCs w:val="20"/>
                <w:lang w:val="en-US"/>
              </w:rPr>
              <w:t>Член комиссии</w:t>
            </w:r>
          </w:p>
        </w:tc>
        <w:tc>
          <w:tcPr>
            <w:tcW w:w="3301" w:type="dxa"/>
            <w:tcBorders/>
            <w:shd w:color="auto" w:fill="auto" w:val="clear"/>
          </w:tcPr>
          <w:p>
            <w:pPr>
              <w:pStyle w:val="Style23"/>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rPr/>
            </w:pPr>
            <w:r>
              <w:rPr>
                <w:sz w:val="20"/>
                <w:szCs w:val="20"/>
                <w:lang w:val="en-US"/>
              </w:rPr>
              <w:t>Лазарева Анастасия Александровна</w:t>
            </w:r>
          </w:p>
        </w:tc>
      </w:tr>
      <w:tr>
        <w:trPr/>
        <w:tc>
          <w:tcPr>
            <w:tcW w:w="3307" w:type="dxa"/>
            <w:tcBorders/>
            <w:shd w:color="auto" w:fill="auto" w:val="clear"/>
            <w:vAlign w:val="bottom"/>
          </w:tcPr>
          <w:p>
            <w:pPr>
              <w:pStyle w:val="Style23"/>
              <w:rPr/>
            </w:pPr>
            <w:r>
              <w:rPr>
                <w:rFonts w:eastAsia="Times New Roman"/>
                <w:sz w:val="20"/>
                <w:szCs w:val="20"/>
                <w:lang w:val="en-US"/>
              </w:rPr>
              <w:t>Секретарь комиссии</w:t>
            </w:r>
          </w:p>
        </w:tc>
        <w:tc>
          <w:tcPr>
            <w:tcW w:w="3301" w:type="dxa"/>
            <w:tcBorders/>
            <w:shd w:color="auto" w:fill="auto" w:val="clear"/>
          </w:tcPr>
          <w:p>
            <w:pPr>
              <w:pStyle w:val="Style23"/>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rPr/>
            </w:pPr>
            <w:r>
              <w:rPr>
                <w:sz w:val="20"/>
                <w:szCs w:val="20"/>
                <w:lang w:val="en-US"/>
              </w:rPr>
              <w:t>Верютина Олеся Николаевна</w:t>
            </w:r>
          </w:p>
        </w:tc>
      </w:tr>
    </w:tbl>
    <w:sectPr>
      <w:type w:val="nextPage"/>
      <w:pgSz w:w="11906" w:h="16838"/>
      <w:pgMar w:left="1418" w:right="566"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before="0" w:after="0"/>
      <w:jc w:val="left"/>
    </w:pPr>
    <w:rPr>
      <w:rFonts w:ascii="Times New Roman" w:hAnsi="Times New Roman" w:eastAsia="" w:cs="Times New Roman" w:eastAsiaTheme="minorEastAsia"/>
      <w:color w:val="00000A"/>
      <w:kern w:val="0"/>
      <w:sz w:val="24"/>
      <w:szCs w:val="24"/>
      <w:lang w:val="ru-RU" w:eastAsia="ru-RU"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b171ee"/>
    <w:rPr>
      <w:sz w:val="16"/>
      <w:szCs w:val="16"/>
    </w:rPr>
  </w:style>
  <w:style w:type="character" w:styleId="Style14" w:customStyle="1">
    <w:name w:val="Текст примечания Знак"/>
    <w:basedOn w:val="DefaultParagraphFont"/>
    <w:uiPriority w:val="99"/>
    <w:semiHidden/>
    <w:qFormat/>
    <w:rsid w:val="00b171ee"/>
    <w:rPr>
      <w:rFonts w:eastAsia="" w:eastAsiaTheme="minorEastAsia"/>
    </w:rPr>
  </w:style>
  <w:style w:type="character" w:styleId="Style15" w:customStyle="1">
    <w:name w:val="Тема примечания Знак"/>
    <w:basedOn w:val="Style14"/>
    <w:uiPriority w:val="99"/>
    <w:semiHidden/>
    <w:qFormat/>
    <w:rsid w:val="00b171ee"/>
    <w:rPr>
      <w:rFonts w:eastAsia="" w:eastAsiaTheme="minorEastAsia"/>
      <w:b/>
      <w:bCs/>
    </w:rPr>
  </w:style>
  <w:style w:type="character" w:styleId="Style16" w:customStyle="1">
    <w:name w:val="Текст выноски Знак"/>
    <w:basedOn w:val="DefaultParagraphFont"/>
    <w:uiPriority w:val="99"/>
    <w:semiHidden/>
    <w:qFormat/>
    <w:rsid w:val="00b171ee"/>
    <w:rPr>
      <w:rFonts w:ascii="Segoe UI" w:hAnsi="Segoe UI" w:eastAsia="" w:cs="Segoe UI" w:eastAsiaTheme="minorEastAsia"/>
      <w:sz w:val="18"/>
      <w:szCs w:val="18"/>
    </w:rPr>
  </w:style>
  <w:style w:type="paragraph" w:styleId="Style17">
    <w:name w:val="Заголовок"/>
    <w:basedOn w:val="Normal"/>
    <w:next w:val="Style18"/>
    <w:qFormat/>
    <w:pPr>
      <w:keepNext w:val="true"/>
      <w:spacing w:before="240" w:after="120"/>
    </w:pPr>
    <w:rPr>
      <w:rFonts w:ascii="Liberation Sans" w:hAnsi="Liberation Sans" w:eastAsia="Microsoft YaHei" w:cs="Arial Unicode MS"/>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Noto Sans Devanagari"/>
    </w:rPr>
  </w:style>
  <w:style w:type="paragraph" w:styleId="Style20">
    <w:name w:val="Caption"/>
    <w:basedOn w:val="Normal"/>
    <w:qFormat/>
    <w:pPr>
      <w:suppressLineNumbers/>
      <w:spacing w:before="120" w:after="120"/>
    </w:pPr>
    <w:rPr>
      <w:rFonts w:cs="Arial Unicode MS"/>
      <w:i/>
      <w:iCs/>
      <w:sz w:val="24"/>
      <w:szCs w:val="24"/>
    </w:rPr>
  </w:style>
  <w:style w:type="paragraph" w:styleId="Style21">
    <w:name w:val="Указатель"/>
    <w:basedOn w:val="Normal"/>
    <w:qFormat/>
    <w:pPr>
      <w:suppressLineNumbers/>
    </w:pPr>
    <w:rPr>
      <w:rFonts w:cs="Arial Unicode MS"/>
    </w:rPr>
  </w:style>
  <w:style w:type="paragraph" w:styleId="Style22">
    <w:name w:val="Title"/>
    <w:basedOn w:val="Normal"/>
    <w:next w:val="Style18"/>
    <w:qFormat/>
    <w:pPr>
      <w:keepNext w:val="true"/>
      <w:spacing w:before="240" w:after="120"/>
    </w:pPr>
    <w:rPr>
      <w:rFonts w:ascii="Liberation Sans" w:hAnsi="Liberation Sans" w:eastAsia="Noto Sans CJK SC Regular" w:cs="Noto Sans Devanagari"/>
      <w:sz w:val="28"/>
      <w:szCs w:val="28"/>
    </w:rPr>
  </w:style>
  <w:style w:type="paragraph" w:styleId="Caption">
    <w:name w:val="caption"/>
    <w:basedOn w:val="Normal"/>
    <w:qFormat/>
    <w:pPr>
      <w:suppressLineNumbers/>
      <w:spacing w:before="120" w:after="120"/>
    </w:pPr>
    <w:rPr>
      <w:rFonts w:cs="Noto Sans Devanagari"/>
      <w:i/>
      <w:iCs/>
    </w:rPr>
  </w:style>
  <w:style w:type="paragraph" w:styleId="Indexheading">
    <w:name w:val="index heading"/>
    <w:basedOn w:val="Normal"/>
    <w:qFormat/>
    <w:pPr>
      <w:suppressLineNumbers/>
    </w:pPr>
    <w:rPr>
      <w:rFonts w:cs="Noto Sans Devanagari"/>
    </w:rPr>
  </w:style>
  <w:style w:type="paragraph" w:styleId="Dt" w:customStyle="1">
    <w:name w:val="dt"/>
    <w:basedOn w:val="Normal"/>
    <w:qFormat/>
    <w:pPr>
      <w:spacing w:beforeAutospacing="1" w:afterAutospacing="1"/>
    </w:pPr>
    <w:rPr/>
  </w:style>
  <w:style w:type="paragraph" w:styleId="Th" w:customStyle="1">
    <w:name w:val="th"/>
    <w:basedOn w:val="Normal"/>
    <w:qFormat/>
    <w:pPr>
      <w:shd w:val="clear" w:color="auto" w:fill="EEEEEE"/>
      <w:spacing w:beforeAutospacing="1" w:afterAutospacing="1"/>
    </w:pPr>
    <w:rPr/>
  </w:style>
  <w:style w:type="paragraph" w:styleId="Fr" w:customStyle="1">
    <w:name w:val="fr"/>
    <w:basedOn w:val="Normal"/>
    <w:qFormat/>
    <w:pPr>
      <w:spacing w:beforeAutospacing="1" w:afterAutospacing="1"/>
    </w:pPr>
    <w:rPr/>
  </w:style>
  <w:style w:type="paragraph" w:styleId="Headingcenter1" w:customStyle="1">
    <w:name w:val="headingcenter1"/>
    <w:basedOn w:val="Normal"/>
    <w:qFormat/>
    <w:pPr>
      <w:spacing w:beforeAutospacing="1" w:afterAutospacing="1"/>
      <w:jc w:val="center"/>
    </w:pPr>
    <w:rPr>
      <w:b/>
      <w:bCs/>
      <w:sz w:val="28"/>
      <w:szCs w:val="28"/>
    </w:rPr>
  </w:style>
  <w:style w:type="paragraph" w:styleId="Usual1" w:customStyle="1">
    <w:name w:val="usual1"/>
    <w:basedOn w:val="Normal"/>
    <w:qFormat/>
    <w:pPr>
      <w:spacing w:beforeAutospacing="1" w:after="200"/>
    </w:pPr>
    <w:rPr/>
  </w:style>
  <w:style w:type="paragraph" w:styleId="Usual2" w:customStyle="1">
    <w:name w:val="usual2"/>
    <w:basedOn w:val="Normal"/>
    <w:qFormat/>
    <w:pPr>
      <w:spacing w:beforeAutospacing="1" w:after="200"/>
      <w:ind w:left="460" w:hanging="0"/>
    </w:pPr>
    <w:rPr/>
  </w:style>
  <w:style w:type="paragraph" w:styleId="Margleft1" w:customStyle="1">
    <w:name w:val="margleft1"/>
    <w:basedOn w:val="Normal"/>
    <w:qFormat/>
    <w:pPr>
      <w:spacing w:beforeAutospacing="1" w:afterAutospacing="1"/>
    </w:pPr>
    <w:rPr/>
  </w:style>
  <w:style w:type="paragraph" w:styleId="Commissiontable" w:customStyle="1">
    <w:name w:val="commissiontable"/>
    <w:basedOn w:val="Normal"/>
    <w:qFormat/>
    <w:pPr>
      <w:spacing w:beforeAutospacing="1" w:afterAutospacing="1"/>
    </w:pPr>
    <w:rPr/>
  </w:style>
  <w:style w:type="paragraph" w:styleId="Requests" w:customStyle="1">
    <w:name w:val="requests"/>
    <w:basedOn w:val="Normal"/>
    <w:qFormat/>
    <w:pPr>
      <w:spacing w:beforeAutospacing="1" w:afterAutospacing="1"/>
      <w:ind w:left="460" w:hanging="0"/>
    </w:pPr>
    <w:rPr/>
  </w:style>
  <w:style w:type="paragraph" w:styleId="Margtab1" w:customStyle="1">
    <w:name w:val="margtab1"/>
    <w:basedOn w:val="Normal"/>
    <w:qFormat/>
    <w:pPr>
      <w:spacing w:beforeAutospacing="1" w:afterAutospacing="1"/>
      <w:ind w:left="460" w:hanging="0"/>
    </w:pPr>
    <w:rPr/>
  </w:style>
  <w:style w:type="paragraph" w:styleId="Annotationtext">
    <w:name w:val="annotation text"/>
    <w:basedOn w:val="Normal"/>
    <w:uiPriority w:val="99"/>
    <w:semiHidden/>
    <w:unhideWhenUsed/>
    <w:qFormat/>
    <w:rsid w:val="00b171ee"/>
    <w:pPr/>
    <w:rPr>
      <w:sz w:val="20"/>
      <w:szCs w:val="20"/>
    </w:rPr>
  </w:style>
  <w:style w:type="paragraph" w:styleId="Annotationsubject">
    <w:name w:val="annotation subject"/>
    <w:basedOn w:val="Annotationtext"/>
    <w:uiPriority w:val="99"/>
    <w:semiHidden/>
    <w:unhideWhenUsed/>
    <w:qFormat/>
    <w:rsid w:val="00b171ee"/>
    <w:pPr/>
    <w:rPr>
      <w:b/>
      <w:bCs/>
    </w:rPr>
  </w:style>
  <w:style w:type="paragraph" w:styleId="BalloonText">
    <w:name w:val="Balloon Text"/>
    <w:basedOn w:val="Normal"/>
    <w:uiPriority w:val="99"/>
    <w:semiHidden/>
    <w:unhideWhenUsed/>
    <w:qFormat/>
    <w:rsid w:val="00b171ee"/>
    <w:pPr/>
    <w:rPr>
      <w:rFonts w:ascii="Segoe UI" w:hAnsi="Segoe UI" w:cs="Segoe UI"/>
      <w:sz w:val="18"/>
      <w:szCs w:val="18"/>
    </w:rPr>
  </w:style>
  <w:style w:type="paragraph" w:styleId="NormalWeb">
    <w:name w:val="Normal (Web)"/>
    <w:basedOn w:val="Normal"/>
    <w:uiPriority w:val="99"/>
    <w:unhideWhenUsed/>
    <w:qFormat/>
    <w:rsid w:val="00c6449d"/>
    <w:pPr>
      <w:spacing w:beforeAutospacing="1" w:afterAutospacing="1"/>
    </w:pPr>
    <w:rPr>
      <w:rFonts w:eastAsia="Times New Roman"/>
    </w:rPr>
  </w:style>
  <w:style w:type="paragraph" w:styleId="Style23" w:customStyle="1">
    <w:name w:val="Содержимое таблицы"/>
    <w:basedOn w:val="Normal"/>
    <w:qFormat/>
    <w:pPr/>
    <w:rPr/>
  </w:style>
  <w:style w:type="paragraph" w:styleId="Style24" w:customStyle="1">
    <w:name w:val="Заголовок таблицы"/>
    <w:basedOn w:val="Style23"/>
    <w:qFormat/>
    <w:pPr/>
    <w:rPr/>
  </w:style>
  <w:style w:type="paragraph" w:styleId="DocumentMap" w:customStyle="1">
    <w:name w:val="Document Map"/>
    <w:qFormat/>
    <w:pPr>
      <w:widowControl/>
      <w:bidi w:val="0"/>
      <w:spacing w:before="0" w:after="0"/>
      <w:jc w:val="left"/>
    </w:pPr>
    <w:rPr>
      <w:rFonts w:ascii="Times New Roman" w:hAnsi="Times New Roman" w:eastAsia="Times New Roman" w:cs="Times New Roman"/>
      <w:color w:val="00000A"/>
      <w:kern w:val="0"/>
      <w:sz w:val="24"/>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Application>LibreOffice/6.4.3.2$Windows_x86 LibreOffice_project/747b5d0ebf89f41c860ec2a39efd7cb15b54f2d8</Application>
  <Pages>5</Pages>
  <Words>876</Words>
  <Characters>6483</Characters>
  <CharactersWithSpaces>7256</CharactersWithSpaces>
  <Paragraphs>122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2020-01-20T14:42:00Z</dcterms:created>
  <dc:creator>Ларий Дарья Григорьевна</dc:creator>
  <dc:description/>
  <dc:language>ru-RU</dc:language>
  <cp:lastModifiedBy/>
  <dcterms:modified xsi:type="dcterms:W3CDTF">2020-10-09T11:03:54Z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