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41"/>
        <w:widowControl/>
        <w:jc w:val="center"/>
        <w:rPr>
          <w:sz w:val="20"/>
          <w:szCs w:val="20"/>
        </w:rPr>
      </w:pPr>
      <w:r>
        <w:rPr>
          <w:rStyle w:val="FontStyle17"/>
          <w:sz w:val="20"/>
          <w:szCs w:val="20"/>
        </w:rPr>
        <w:t>ПРОТОКОЛ № 03.2-4/</w:t>
      </w:r>
      <w:r>
        <w:rPr>
          <w:rStyle w:val="FontStyle17"/>
          <w:rFonts w:eastAsia="Times New Roman" w:cs="Times New Roman"/>
          <w:b/>
          <w:bCs/>
          <w:color w:val="auto"/>
          <w:kern w:val="0"/>
          <w:sz w:val="20"/>
          <w:szCs w:val="20"/>
          <w:lang w:val="ru-RU" w:eastAsia="ru-RU" w:bidi="ar-SA"/>
        </w:rPr>
        <w:t>314</w:t>
      </w:r>
    </w:p>
    <w:p>
      <w:pPr>
        <w:pStyle w:val="Normal"/>
        <w:jc w:val="center"/>
        <w:rPr>
          <w:rStyle w:val="FontStyle17"/>
          <w:sz w:val="20"/>
          <w:szCs w:val="20"/>
        </w:rPr>
      </w:pPr>
      <w:r>
        <w:rPr>
          <w:rStyle w:val="FontStyle17"/>
          <w:sz w:val="18"/>
          <w:szCs w:val="18"/>
        </w:rPr>
        <w:t>подведения итогов аукциона в электронной форме</w:t>
      </w:r>
    </w:p>
    <w:p>
      <w:pPr>
        <w:pStyle w:val="Normal"/>
        <w:tabs>
          <w:tab w:val="clear" w:pos="709"/>
          <w:tab w:val="left" w:pos="-1620" w:leader="none"/>
        </w:tabs>
        <w:ind w:firstLine="709"/>
        <w:jc w:val="center"/>
        <w:rPr>
          <w:b/>
          <w:b/>
          <w:sz w:val="18"/>
          <w:szCs w:val="18"/>
        </w:rPr>
      </w:pPr>
      <w:r>
        <w:rPr>
          <w:rFonts w:eastAsia="Calibri" w:eastAsiaTheme="minorHAnsi"/>
          <w:b/>
          <w:bCs/>
          <w:color w:val="000000"/>
          <w:sz w:val="18"/>
          <w:szCs w:val="18"/>
          <w:lang w:eastAsia="en-US"/>
        </w:rPr>
        <w:t xml:space="preserve">на право заключения контракта </w:t>
      </w:r>
      <w:r>
        <w:rPr>
          <w:rFonts w:eastAsia="Calibri" w:eastAsiaTheme="minorHAnsi"/>
          <w:b/>
          <w:bCs/>
          <w:color w:val="000000"/>
          <w:sz w:val="18"/>
          <w:szCs w:val="18"/>
          <w:highlight w:val="white"/>
          <w:lang w:eastAsia="en-US"/>
        </w:rPr>
        <w:t xml:space="preserve">с областным </w:t>
      </w:r>
      <w:r>
        <w:rPr>
          <w:rFonts w:eastAsia="Calibri" w:eastAsiaTheme="minorHAnsi"/>
          <w:b/>
          <w:bCs/>
          <w:color w:val="000000"/>
          <w:sz w:val="18"/>
          <w:szCs w:val="18"/>
          <w:highlight w:val="white"/>
          <w:lang w:val="en-US" w:eastAsia="en-US"/>
        </w:rPr>
        <w:t>казенн</w:t>
      </w:r>
      <w:r>
        <w:rPr>
          <w:rFonts w:eastAsia="Calibri" w:eastAsiaTheme="minorHAnsi"/>
          <w:b/>
          <w:bCs/>
          <w:color w:val="000000"/>
          <w:sz w:val="18"/>
          <w:szCs w:val="18"/>
          <w:highlight w:val="white"/>
          <w:lang w:val="ru-RU" w:eastAsia="en-US"/>
        </w:rPr>
        <w:t>ым</w:t>
      </w:r>
      <w:r>
        <w:rPr>
          <w:rFonts w:eastAsia="Calibri" w:eastAsiaTheme="minorHAnsi"/>
          <w:b/>
          <w:bCs/>
          <w:color w:val="000000"/>
          <w:sz w:val="18"/>
          <w:szCs w:val="18"/>
          <w:highlight w:val="white"/>
          <w:lang w:val="en-US" w:eastAsia="en-US"/>
        </w:rPr>
        <w:t xml:space="preserve"> учреждение</w:t>
      </w:r>
      <w:r>
        <w:rPr>
          <w:rFonts w:eastAsia="Calibri" w:eastAsiaTheme="minorHAnsi"/>
          <w:b/>
          <w:bCs/>
          <w:color w:val="000000"/>
          <w:sz w:val="18"/>
          <w:szCs w:val="18"/>
          <w:highlight w:val="white"/>
          <w:lang w:val="ru-RU" w:eastAsia="en-US"/>
        </w:rPr>
        <w:t>м «</w:t>
      </w:r>
      <w:r>
        <w:rPr>
          <w:rFonts w:eastAsia="Calibri" w:eastAsiaTheme="minorHAnsi"/>
          <w:b/>
          <w:bCs/>
          <w:color w:val="000000"/>
          <w:sz w:val="18"/>
          <w:szCs w:val="18"/>
          <w:highlight w:val="white"/>
          <w:lang w:val="en-US" w:eastAsia="en-US"/>
        </w:rPr>
        <w:t>Информационно-аналитический цент</w:t>
      </w:r>
      <w:r>
        <w:rPr>
          <w:rFonts w:eastAsia="Calibri" w:eastAsiaTheme="minorHAnsi"/>
          <w:b/>
          <w:bCs/>
          <w:color w:val="000000"/>
          <w:sz w:val="18"/>
          <w:szCs w:val="18"/>
          <w:highlight w:val="white"/>
          <w:lang w:val="ru-RU" w:eastAsia="en-US"/>
        </w:rPr>
        <w:t>р»</w:t>
      </w:r>
      <w:r>
        <w:rPr>
          <w:rFonts w:eastAsia="Calibri" w:eastAsiaTheme="minorHAnsi"/>
          <w:b/>
          <w:bCs/>
          <w:color w:val="000000"/>
          <w:sz w:val="18"/>
          <w:szCs w:val="18"/>
          <w:highlight w:val="white"/>
          <w:lang w:val="en-US" w:eastAsia="en-US"/>
        </w:rPr>
        <w:t xml:space="preserve"> Курской области</w:t>
      </w:r>
      <w:r>
        <w:rPr>
          <w:rFonts w:eastAsia="Calibri" w:eastAsiaTheme="minorHAnsi"/>
          <w:b/>
          <w:bCs/>
          <w:color w:val="000000"/>
          <w:sz w:val="18"/>
          <w:szCs w:val="18"/>
          <w:highlight w:val="white"/>
          <w:lang w:eastAsia="en-US"/>
        </w:rPr>
        <w:t xml:space="preserve"> на поставку</w:t>
      </w:r>
      <w:r>
        <w:rPr>
          <w:rFonts w:eastAsia="Calibri"/>
          <w:b/>
          <w:bCs/>
          <w:color w:val="000000"/>
          <w:sz w:val="18"/>
          <w:szCs w:val="18"/>
          <w:highlight w:val="white"/>
          <w:lang w:eastAsia="en-US"/>
        </w:rPr>
        <w:t xml:space="preserve"> картриджей для лазерных принтеров</w:t>
      </w:r>
      <w:r>
        <w:rPr>
          <w:rFonts w:eastAsia="Calibri" w:eastAsiaTheme="minorHAnsi"/>
          <w:b/>
          <w:bCs/>
          <w:color w:val="000000"/>
          <w:sz w:val="18"/>
          <w:szCs w:val="18"/>
          <w:highlight w:val="white"/>
          <w:lang w:eastAsia="en-US"/>
        </w:rPr>
        <w:t>.</w:t>
      </w:r>
    </w:p>
    <w:p>
      <w:pPr>
        <w:pStyle w:val="Normal"/>
        <w:tabs>
          <w:tab w:val="clear" w:pos="709"/>
          <w:tab w:val="left" w:pos="-1620" w:leader="none"/>
        </w:tabs>
        <w:ind w:firstLine="709"/>
        <w:jc w:val="center"/>
        <w:rPr>
          <w:b/>
          <w:b/>
          <w:szCs w:val="24"/>
        </w:rPr>
      </w:pPr>
      <w:r>
        <w:rPr>
          <w:b/>
          <w:sz w:val="18"/>
          <w:szCs w:val="18"/>
        </w:rPr>
        <w:t xml:space="preserve">(регистрационный номер </w:t>
      </w:r>
      <w:r>
        <w:rPr>
          <w:b/>
          <w:bCs/>
          <w:sz w:val="18"/>
          <w:szCs w:val="18"/>
        </w:rPr>
        <w:t>09-05/19969</w:t>
      </w:r>
      <w:r>
        <w:rPr>
          <w:b/>
          <w:sz w:val="18"/>
          <w:szCs w:val="18"/>
        </w:rPr>
        <w:t>)</w:t>
      </w:r>
    </w:p>
    <w:p>
      <w:pPr>
        <w:pStyle w:val="Normal"/>
        <w:tabs>
          <w:tab w:val="clear" w:pos="709"/>
          <w:tab w:val="left" w:pos="-1620" w:leader="none"/>
        </w:tabs>
        <w:ind w:firstLine="709"/>
        <w:jc w:val="center"/>
        <w:rPr>
          <w:b/>
          <w:b/>
          <w:szCs w:val="24"/>
        </w:rPr>
      </w:pPr>
      <w:r>
        <w:rPr>
          <w:b/>
          <w:szCs w:val="24"/>
        </w:rPr>
      </w:r>
    </w:p>
    <w:p>
      <w:pPr>
        <w:pStyle w:val="Normal"/>
        <w:tabs>
          <w:tab w:val="clear" w:pos="709"/>
          <w:tab w:val="left" w:pos="-1620" w:leader="none"/>
        </w:tabs>
        <w:ind w:firstLine="709"/>
        <w:jc w:val="center"/>
        <w:rPr>
          <w:b/>
          <w:b/>
          <w:szCs w:val="24"/>
        </w:rPr>
      </w:pPr>
      <w:r>
        <w:rPr>
          <w:b/>
          <w:szCs w:val="24"/>
        </w:rPr>
        <w:t>Идентификационный код закупки:</w:t>
      </w:r>
    </w:p>
    <w:p>
      <w:pPr>
        <w:pStyle w:val="Normal"/>
        <w:tabs>
          <w:tab w:val="clear" w:pos="709"/>
          <w:tab w:val="left" w:pos="-1620" w:leader="none"/>
        </w:tabs>
        <w:ind w:firstLine="709"/>
        <w:jc w:val="center"/>
        <w:rPr>
          <w:b/>
          <w:b/>
          <w:sz w:val="18"/>
          <w:szCs w:val="18"/>
        </w:rPr>
      </w:pPr>
      <w:r>
        <w:rPr>
          <w:rFonts w:eastAsia="Times New Roman" w:cs="Tahoma" w:ascii="Tahoma" w:hAnsi="Tahoma"/>
          <w:b/>
          <w:bCs/>
          <w:i w:val="false"/>
          <w:iCs w:val="false"/>
          <w:color w:val="000000"/>
          <w:sz w:val="21"/>
          <w:szCs w:val="24"/>
          <w:highlight w:val="white"/>
          <w:lang w:eastAsia="ru-RU"/>
        </w:rPr>
        <w:t xml:space="preserve">        </w:t>
      </w:r>
      <w:r>
        <w:rPr>
          <w:rFonts w:eastAsia="Times New Roman" w:cs="Tahoma" w:ascii="Tahoma" w:hAnsi="Tahoma"/>
          <w:b/>
          <w:bCs/>
          <w:i w:val="false"/>
          <w:iCs w:val="false"/>
          <w:color w:val="000000"/>
          <w:sz w:val="22"/>
          <w:szCs w:val="22"/>
          <w:highlight w:val="white"/>
          <w:lang w:eastAsia="ru-RU"/>
        </w:rPr>
        <w:t xml:space="preserve">   </w:t>
      </w:r>
      <w:r>
        <w:rPr>
          <w:rFonts w:eastAsia="Times New Roman" w:cs="Tahoma" w:ascii="Tahoma" w:hAnsi="Tahoma"/>
          <w:b/>
          <w:bCs/>
          <w:i w:val="false"/>
          <w:iCs w:val="false"/>
          <w:color w:val="000000"/>
          <w:sz w:val="22"/>
          <w:szCs w:val="22"/>
          <w:highlight w:val="white"/>
          <w:lang w:eastAsia="ru-RU"/>
        </w:rPr>
        <w:t>202462904342246320100100430012620242</w:t>
      </w:r>
    </w:p>
    <w:p>
      <w:pPr>
        <w:pStyle w:val="Style25"/>
        <w:tabs>
          <w:tab w:val="clear" w:pos="709"/>
          <w:tab w:val="left" w:pos="-1620" w:leader="none"/>
        </w:tabs>
        <w:spacing w:before="280" w:after="280"/>
        <w:jc w:val="both"/>
        <w:rPr>
          <w:color w:val="auto"/>
          <w:sz w:val="18"/>
          <w:szCs w:val="18"/>
        </w:rPr>
      </w:pPr>
      <w:r>
        <w:rPr>
          <w:b w:val="false"/>
          <w:bCs w:val="false"/>
          <w:color w:val="auto"/>
          <w:sz w:val="18"/>
          <w:szCs w:val="18"/>
        </w:rPr>
        <w:t>г. Курск, ул. Красный октябрь, 21                                                                                                            «</w:t>
      </w:r>
      <w:r>
        <w:rPr>
          <w:b w:val="false"/>
          <w:bCs w:val="false"/>
          <w:color w:val="auto"/>
          <w:sz w:val="18"/>
          <w:szCs w:val="18"/>
        </w:rPr>
        <w:t>12</w:t>
      </w:r>
      <w:r>
        <w:rPr>
          <w:b w:val="false"/>
          <w:bCs w:val="false"/>
          <w:color w:val="auto"/>
          <w:sz w:val="18"/>
          <w:szCs w:val="18"/>
        </w:rPr>
        <w:t>»</w:t>
      </w:r>
      <w:r>
        <w:rPr>
          <w:b w:val="false"/>
          <w:bCs w:val="false"/>
          <w:color w:val="auto"/>
          <w:sz w:val="18"/>
          <w:szCs w:val="18"/>
          <w:lang w:val="ru-RU"/>
        </w:rPr>
        <w:t xml:space="preserve"> </w:t>
      </w:r>
      <w:r>
        <w:rPr>
          <w:b w:val="false"/>
          <w:bCs w:val="false"/>
          <w:color w:val="auto"/>
          <w:sz w:val="18"/>
          <w:szCs w:val="18"/>
          <w:lang w:val="en-US"/>
        </w:rPr>
        <w:t>октяб</w:t>
      </w:r>
      <w:r>
        <w:rPr>
          <w:b w:val="false"/>
          <w:bCs w:val="false"/>
          <w:color w:val="auto"/>
          <w:sz w:val="18"/>
          <w:szCs w:val="18"/>
          <w:lang w:val="ru-RU"/>
        </w:rPr>
        <w:t xml:space="preserve">ря </w:t>
      </w:r>
      <w:r>
        <w:rPr>
          <w:b w:val="false"/>
          <w:bCs w:val="false"/>
          <w:color w:val="auto"/>
          <w:sz w:val="18"/>
          <w:szCs w:val="18"/>
        </w:rPr>
        <w:t>2020 года</w:t>
      </w:r>
    </w:p>
    <w:p>
      <w:pPr>
        <w:pStyle w:val="Style25"/>
        <w:spacing w:beforeAutospacing="0" w:before="0" w:afterAutospacing="0" w:after="0"/>
        <w:jc w:val="center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</w:p>
    <w:p>
      <w:pPr>
        <w:pStyle w:val="BodyTextIndent2"/>
        <w:spacing w:lineRule="auto" w:line="240" w:before="0" w:after="0"/>
        <w:ind w:left="0" w:hanging="0"/>
        <w:jc w:val="both"/>
        <w:rPr>
          <w:sz w:val="20"/>
          <w:szCs w:val="20"/>
        </w:rPr>
      </w:pPr>
      <w:r>
        <w:rPr>
          <w:sz w:val="20"/>
          <w:szCs w:val="20"/>
        </w:rPr>
        <w:t>На заседании аукционной комиссии присутствовали:</w:t>
      </w:r>
    </w:p>
    <w:p>
      <w:pPr>
        <w:pStyle w:val="BodyTextIndent2"/>
        <w:spacing w:lineRule="auto" w:line="240" w:before="0" w:after="0"/>
        <w:ind w:left="0" w:hanging="0"/>
        <w:jc w:val="both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W w:w="9646" w:type="dxa"/>
        <w:jc w:val="left"/>
        <w:tblInd w:w="106" w:type="dxa"/>
        <w:tblCellMar>
          <w:top w:w="0" w:type="dxa"/>
          <w:left w:w="108" w:type="dxa"/>
          <w:bottom w:w="0" w:type="dxa"/>
          <w:right w:w="108" w:type="dxa"/>
        </w:tblCellMar>
        <w:tblLook w:val="01e0"/>
      </w:tblPr>
      <w:tblGrid>
        <w:gridCol w:w="3123"/>
        <w:gridCol w:w="6522"/>
      </w:tblGrid>
      <w:tr>
        <w:trPr>
          <w:trHeight w:val="390" w:hRule="atLeast"/>
        </w:trPr>
        <w:tc>
          <w:tcPr>
            <w:tcW w:w="3123" w:type="dxa"/>
            <w:tcBorders/>
          </w:tcPr>
          <w:p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Полторацкий Алексей Николаевич</w:t>
            </w:r>
          </w:p>
          <w:p>
            <w:pPr>
              <w:pStyle w:val="Normal"/>
              <w:rPr>
                <w:sz w:val="18"/>
                <w:szCs w:val="18"/>
                <w:highlight w:val="white"/>
              </w:rPr>
            </w:pPr>
            <w:r>
              <w:rPr>
                <w:sz w:val="18"/>
                <w:szCs w:val="18"/>
                <w:highlight w:val="white"/>
              </w:rPr>
            </w:r>
          </w:p>
        </w:tc>
        <w:tc>
          <w:tcPr>
            <w:tcW w:w="6522" w:type="dxa"/>
            <w:tcBorders/>
          </w:tcPr>
          <w:p>
            <w:pPr>
              <w:pStyle w:val="Normal"/>
              <w:jc w:val="both"/>
              <w:rPr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Временно исполняющий обязанности директора областного казенного учреждения «Центр закупок Курской области», председатель комиссии</w:t>
            </w:r>
          </w:p>
        </w:tc>
      </w:tr>
      <w:tr>
        <w:trPr>
          <w:trHeight w:val="399" w:hRule="atLeast"/>
        </w:trPr>
        <w:tc>
          <w:tcPr>
            <w:tcW w:w="3123" w:type="dxa"/>
            <w:tcBorders/>
          </w:tcPr>
          <w:p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eastAsia="zh-CN"/>
              </w:rPr>
              <w:t>Попов Евгений Александрович</w:t>
            </w:r>
          </w:p>
          <w:p>
            <w:pPr>
              <w:pStyle w:val="Normal"/>
              <w:rPr>
                <w:sz w:val="18"/>
                <w:szCs w:val="18"/>
                <w:highlight w:val="white"/>
              </w:rPr>
            </w:pPr>
            <w:r>
              <w:rPr>
                <w:sz w:val="18"/>
                <w:szCs w:val="18"/>
                <w:highlight w:val="white"/>
              </w:rPr>
            </w:r>
          </w:p>
        </w:tc>
        <w:tc>
          <w:tcPr>
            <w:tcW w:w="6522" w:type="dxa"/>
            <w:tcBorders/>
          </w:tcPr>
          <w:p>
            <w:pPr>
              <w:pStyle w:val="Normal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eastAsia="zh-CN"/>
              </w:rPr>
              <w:t>Начальник отдела закупок в сфере связи и информатизации областного казенного учреждения «Центр закупок Курской области»</w:t>
            </w:r>
          </w:p>
        </w:tc>
      </w:tr>
      <w:tr>
        <w:trPr>
          <w:trHeight w:val="432" w:hRule="atLeast"/>
        </w:trPr>
        <w:tc>
          <w:tcPr>
            <w:tcW w:w="3123" w:type="dxa"/>
            <w:tcBorders/>
          </w:tcPr>
          <w:p>
            <w:pPr>
              <w:pStyle w:val="Normal"/>
              <w:rPr>
                <w:sz w:val="18"/>
                <w:szCs w:val="18"/>
                <w:lang w:eastAsia="zh-CN"/>
              </w:rPr>
            </w:pPr>
            <w:r>
              <w:rPr>
                <w:color w:val="000000"/>
                <w:sz w:val="18"/>
                <w:szCs w:val="18"/>
                <w:lang w:eastAsia="zh-CN"/>
              </w:rPr>
              <w:t>Иванников Михаил Иванович</w:t>
            </w:r>
          </w:p>
        </w:tc>
        <w:tc>
          <w:tcPr>
            <w:tcW w:w="6522" w:type="dxa"/>
            <w:tcBorders/>
          </w:tcPr>
          <w:p>
            <w:pPr>
              <w:pStyle w:val="Normal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Консультант отдела закупок в сфере </w:t>
            </w:r>
            <w:r>
              <w:rPr>
                <w:sz w:val="18"/>
                <w:szCs w:val="18"/>
                <w:lang w:eastAsia="zh-CN"/>
              </w:rPr>
              <w:t xml:space="preserve">связи и информатизации </w:t>
            </w:r>
            <w:r>
              <w:rPr>
                <w:sz w:val="18"/>
                <w:szCs w:val="18"/>
              </w:rPr>
              <w:t>областного казенного учреждения «Центр закупок Курской области»</w:t>
            </w:r>
          </w:p>
        </w:tc>
      </w:tr>
      <w:tr>
        <w:trPr>
          <w:trHeight w:val="435" w:hRule="atLeast"/>
        </w:trPr>
        <w:tc>
          <w:tcPr>
            <w:tcW w:w="3123" w:type="dxa"/>
            <w:tcBorders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Руденко Дмитрий Викторович</w:t>
            </w:r>
          </w:p>
        </w:tc>
        <w:tc>
          <w:tcPr>
            <w:tcW w:w="6522" w:type="dxa"/>
            <w:tcBorders/>
          </w:tcPr>
          <w:p>
            <w:pPr>
              <w:pStyle w:val="Normal"/>
              <w:ind w:left="52" w:right="0" w:hanging="0"/>
              <w:jc w:val="both"/>
              <w:rPr>
                <w:rFonts w:eastAsia="Times New Roman" w:cs="Times New Roman"/>
                <w:color w:val="auto"/>
                <w:sz w:val="20"/>
                <w:szCs w:val="20"/>
                <w:lang w:val="ru-RU" w:eastAsia="zh-CN" w:bidi="ar-SA"/>
              </w:rPr>
            </w:pPr>
            <w:r>
              <w:rPr>
                <w:rFonts w:eastAsia="Times New Roman" w:cs="Times New Roman"/>
                <w:color w:val="auto"/>
                <w:sz w:val="20"/>
                <w:szCs w:val="20"/>
                <w:lang w:val="ru-RU" w:eastAsia="zh-CN" w:bidi="ar-SA"/>
              </w:rPr>
              <w:t>Заместитель директора по техническому обеспечению ОКУ «ИАЦ Курской области»</w:t>
            </w:r>
          </w:p>
        </w:tc>
      </w:tr>
      <w:tr>
        <w:trPr>
          <w:trHeight w:val="324" w:hRule="atLeast"/>
        </w:trPr>
        <w:tc>
          <w:tcPr>
            <w:tcW w:w="3123" w:type="dxa"/>
            <w:tcBorders/>
          </w:tcPr>
          <w:p>
            <w:pPr>
              <w:pStyle w:val="Normal"/>
              <w:rPr>
                <w:rFonts w:eastAsia="Times New Roman" w:cs="Times New Roman"/>
                <w:color w:val="auto"/>
                <w:sz w:val="20"/>
                <w:szCs w:val="20"/>
                <w:lang w:val="ru-RU" w:eastAsia="zh-CN" w:bidi="ar-SA"/>
              </w:rPr>
            </w:pPr>
            <w:r>
              <w:rPr>
                <w:rFonts w:eastAsia="Times New Roman" w:cs="Times New Roman"/>
                <w:color w:val="auto"/>
                <w:sz w:val="20"/>
                <w:szCs w:val="20"/>
                <w:lang w:val="ru-RU" w:eastAsia="zh-CN" w:bidi="ar-SA"/>
              </w:rPr>
              <w:t>Жиляев Михаил Евгеньевич</w:t>
            </w:r>
          </w:p>
        </w:tc>
        <w:tc>
          <w:tcPr>
            <w:tcW w:w="6522" w:type="dxa"/>
            <w:tcBorders/>
          </w:tcPr>
          <w:p>
            <w:pPr>
              <w:pStyle w:val="Normal"/>
              <w:ind w:left="52" w:right="0" w:hanging="0"/>
              <w:jc w:val="both"/>
              <w:rPr>
                <w:rFonts w:eastAsia="Times New Roman" w:cs="Times New Roman"/>
                <w:color w:val="auto"/>
                <w:sz w:val="20"/>
                <w:szCs w:val="20"/>
                <w:lang w:val="ru-RU" w:eastAsia="zh-CN" w:bidi="ar-SA"/>
              </w:rPr>
            </w:pPr>
            <w:r>
              <w:rPr>
                <w:rFonts w:eastAsia="Times New Roman" w:cs="Times New Roman"/>
                <w:color w:val="auto"/>
                <w:sz w:val="20"/>
                <w:szCs w:val="20"/>
                <w:lang w:val="ru-RU" w:eastAsia="zh-CN" w:bidi="ar-SA"/>
              </w:rPr>
              <w:t>Начальник редакционно-технического отдела ОКУ «ИАЦ Курской области»</w:t>
            </w:r>
          </w:p>
        </w:tc>
      </w:tr>
    </w:tbl>
    <w:p>
      <w:pPr>
        <w:pStyle w:val="BodyTextIndent2"/>
        <w:spacing w:lineRule="auto" w:line="240" w:before="0" w:after="0"/>
        <w:ind w:left="0" w:firstLine="708"/>
        <w:jc w:val="both"/>
        <w:rPr>
          <w:sz w:val="20"/>
          <w:szCs w:val="20"/>
        </w:rPr>
      </w:pPr>
      <w:r>
        <w:rPr>
          <w:sz w:val="20"/>
          <w:szCs w:val="20"/>
        </w:rPr>
        <w:t>На заседании аукционной комиссии присутствовали 5 членов комиссии. Комиссия правомочна принимать решения.</w:t>
      </w:r>
    </w:p>
    <w:p>
      <w:pPr>
        <w:pStyle w:val="ConsPlusNormal1"/>
        <w:widowControl/>
        <w:tabs>
          <w:tab w:val="clear" w:pos="709"/>
          <w:tab w:val="left" w:pos="360" w:leader="none"/>
        </w:tabs>
        <w:ind w:hanging="0"/>
        <w:jc w:val="center"/>
        <w:rPr>
          <w:rFonts w:ascii="Times New Roman" w:hAnsi="Times New Roman" w:cs="Times New Roman"/>
          <w:b/>
          <w:b/>
          <w:bCs/>
          <w:color w:val="000000"/>
        </w:rPr>
      </w:pPr>
      <w:r>
        <w:rPr>
          <w:rFonts w:cs="Times New Roman" w:ascii="Times New Roman" w:hAnsi="Times New Roman"/>
          <w:b/>
          <w:bCs/>
          <w:color w:val="000000"/>
        </w:rPr>
      </w:r>
    </w:p>
    <w:p>
      <w:pPr>
        <w:pStyle w:val="ConsPlusNormal1"/>
        <w:widowControl/>
        <w:tabs>
          <w:tab w:val="clear" w:pos="709"/>
          <w:tab w:val="left" w:pos="360" w:leader="none"/>
        </w:tabs>
        <w:ind w:hanging="0"/>
        <w:jc w:val="center"/>
        <w:rPr>
          <w:rFonts w:ascii="Times New Roman" w:hAnsi="Times New Roman" w:cs="Times New Roman"/>
          <w:b/>
          <w:b/>
          <w:bCs/>
          <w:color w:val="000000"/>
        </w:rPr>
      </w:pPr>
      <w:r>
        <w:rPr>
          <w:rFonts w:cs="Times New Roman" w:ascii="Times New Roman" w:hAnsi="Times New Roman"/>
          <w:b/>
          <w:bCs/>
          <w:color w:val="000000"/>
        </w:rPr>
      </w:r>
    </w:p>
    <w:p>
      <w:pPr>
        <w:pStyle w:val="ConsPlusNormal1"/>
        <w:widowControl/>
        <w:tabs>
          <w:tab w:val="clear" w:pos="709"/>
          <w:tab w:val="left" w:pos="360" w:leader="none"/>
        </w:tabs>
        <w:ind w:hanging="0"/>
        <w:jc w:val="center"/>
        <w:rPr>
          <w:rFonts w:ascii="Times New Roman" w:hAnsi="Times New Roman" w:cs="Times New Roman"/>
          <w:b/>
          <w:b/>
          <w:bCs/>
          <w:color w:val="000000"/>
        </w:rPr>
      </w:pPr>
      <w:r>
        <w:rPr>
          <w:rFonts w:cs="Times New Roman" w:ascii="Times New Roman" w:hAnsi="Times New Roman"/>
          <w:b/>
          <w:bCs/>
          <w:color w:val="000000"/>
        </w:rPr>
        <w:t>Наименование объекта закупки</w:t>
      </w:r>
    </w:p>
    <w:p>
      <w:pPr>
        <w:pStyle w:val="ConsPlusNormal1"/>
        <w:widowControl/>
        <w:tabs>
          <w:tab w:val="clear" w:pos="709"/>
          <w:tab w:val="left" w:pos="360" w:leader="none"/>
        </w:tabs>
        <w:ind w:hanging="0"/>
        <w:jc w:val="center"/>
        <w:rPr>
          <w:rFonts w:ascii="Times New Roman" w:hAnsi="Times New Roman" w:cs="Times New Roman"/>
          <w:b/>
          <w:b/>
          <w:bCs/>
          <w:color w:val="000000"/>
        </w:rPr>
      </w:pPr>
      <w:r>
        <w:rPr>
          <w:rFonts w:cs="Times New Roman" w:ascii="Times New Roman" w:hAnsi="Times New Roman"/>
          <w:b/>
          <w:bCs/>
          <w:color w:val="000000"/>
        </w:rPr>
      </w:r>
    </w:p>
    <w:p>
      <w:pPr>
        <w:pStyle w:val="Normal"/>
        <w:keepNext w:val="true"/>
        <w:keepLines/>
        <w:widowControl w:val="false"/>
        <w:suppressLineNumbers/>
        <w:tabs>
          <w:tab w:val="clear" w:pos="709"/>
          <w:tab w:val="left" w:pos="360" w:leader="none"/>
        </w:tabs>
        <w:suppressAutoHyphens w:val="true"/>
        <w:ind w:hanging="0"/>
        <w:jc w:val="both"/>
        <w:rPr>
          <w:b/>
          <w:b/>
          <w:bCs/>
          <w:color w:val="000000"/>
        </w:rPr>
      </w:pPr>
      <w:r>
        <w:rPr>
          <w:rFonts w:eastAsia="Calibri" w:cs="Times New Roman"/>
          <w:b/>
          <w:bCs/>
          <w:iCs w:val="false"/>
          <w:color w:val="000000"/>
          <w:sz w:val="20"/>
          <w:szCs w:val="20"/>
          <w:highlight w:val="white"/>
          <w:lang w:eastAsia="en-US"/>
        </w:rPr>
        <w:t>Поставка картриджей для лазерных принтеров.</w:t>
      </w:r>
    </w:p>
    <w:p>
      <w:pPr>
        <w:pStyle w:val="Normal"/>
        <w:widowControl w:val="false"/>
        <w:suppressLineNumbers/>
        <w:jc w:val="both"/>
        <w:rPr>
          <w:rFonts w:eastAsia="Calibri"/>
          <w:b/>
          <w:b/>
          <w:color w:val="000000" w:themeColor="text1"/>
          <w:highlight w:val="white"/>
          <w:lang w:eastAsia="en-US"/>
        </w:rPr>
      </w:pPr>
      <w:r>
        <w:rPr>
          <w:rFonts w:eastAsia="Calibri"/>
          <w:b/>
          <w:color w:val="000000" w:themeColor="text1"/>
          <w:highlight w:val="white"/>
          <w:lang w:eastAsia="en-US"/>
        </w:rPr>
      </w:r>
    </w:p>
    <w:p>
      <w:pPr>
        <w:pStyle w:val="Normal"/>
        <w:keepNext w:val="true"/>
        <w:keepLines/>
        <w:widowControl w:val="false"/>
        <w:suppressLineNumbers/>
        <w:jc w:val="both"/>
        <w:rPr>
          <w:b/>
          <w:b/>
          <w:sz w:val="18"/>
          <w:szCs w:val="18"/>
        </w:rPr>
      </w:pPr>
      <w:r>
        <w:rPr>
          <w:b/>
          <w:bCs/>
          <w:color w:val="000000"/>
          <w:sz w:val="18"/>
          <w:szCs w:val="18"/>
        </w:rPr>
        <w:t xml:space="preserve">Начальная максимальная цена контракта: </w:t>
      </w:r>
      <w:r>
        <w:rPr>
          <w:rFonts w:eastAsia="Times New Roman" w:cs="Times New Roman"/>
          <w:b/>
          <w:bCs/>
          <w:color w:val="000000"/>
          <w:kern w:val="0"/>
          <w:sz w:val="18"/>
          <w:szCs w:val="18"/>
          <w:lang w:val="ru-RU" w:eastAsia="ru-RU" w:bidi="ar-SA"/>
        </w:rPr>
        <w:t>475 160</w:t>
      </w:r>
      <w:r>
        <w:rPr>
          <w:b/>
          <w:bCs/>
          <w:color w:val="000000"/>
          <w:sz w:val="18"/>
          <w:szCs w:val="18"/>
        </w:rPr>
        <w:t xml:space="preserve"> руб. 00 коп.</w:t>
      </w:r>
    </w:p>
    <w:p>
      <w:pPr>
        <w:pStyle w:val="Normal"/>
        <w:keepNext w:val="true"/>
        <w:keepLines/>
        <w:widowControl w:val="false"/>
        <w:suppressLineNumbers/>
        <w:tabs>
          <w:tab w:val="clear" w:pos="709"/>
          <w:tab w:val="left" w:pos="-1620" w:leader="none"/>
        </w:tabs>
        <w:suppressAutoHyphens w:val="true"/>
        <w:bidi w:val="0"/>
        <w:spacing w:lineRule="auto" w:line="240" w:before="0" w:after="0"/>
        <w:ind w:left="0" w:right="0" w:hanging="0"/>
        <w:jc w:val="both"/>
        <w:rPr>
          <w:b/>
          <w:b/>
          <w:color w:val="000000" w:themeColor="text1"/>
          <w:sz w:val="18"/>
          <w:szCs w:val="18"/>
        </w:rPr>
      </w:pPr>
      <w:r>
        <w:rPr>
          <w:b/>
          <w:color w:val="000000" w:themeColor="text1"/>
          <w:sz w:val="18"/>
          <w:szCs w:val="18"/>
        </w:rPr>
      </w:r>
    </w:p>
    <w:p>
      <w:pPr>
        <w:pStyle w:val="Normal"/>
        <w:widowControl w:val="false"/>
        <w:suppressAutoHyphens w:val="true"/>
        <w:bidi w:val="0"/>
        <w:spacing w:lineRule="auto" w:line="240" w:before="0" w:after="0"/>
        <w:ind w:left="0" w:right="0" w:firstLine="567"/>
        <w:jc w:val="left"/>
        <w:rPr/>
      </w:pPr>
      <w:r>
        <w:rPr>
          <w:sz w:val="20"/>
          <w:szCs w:val="20"/>
        </w:rPr>
        <w:t>На основании протокола проведения открытого аукциона в электронной форме 0744200000220002343 были рассмотрены вторые части заявок участников аукциона в электронной форме, следующих участников аукциона:</w:t>
      </w:r>
    </w:p>
    <w:p>
      <w:pPr>
        <w:pStyle w:val="Normal"/>
        <w:tabs>
          <w:tab w:val="left" w:pos="709" w:leader="none"/>
        </w:tabs>
        <w:ind w:firstLine="720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tabs>
          <w:tab w:val="left" w:pos="709" w:leader="none"/>
        </w:tabs>
        <w:ind w:firstLine="720"/>
        <w:jc w:val="both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W w:w="9577" w:type="dxa"/>
        <w:jc w:val="left"/>
        <w:tblInd w:w="106" w:type="dxa"/>
        <w:tblCellMar>
          <w:top w:w="0" w:type="dxa"/>
          <w:left w:w="40" w:type="dxa"/>
          <w:bottom w:w="0" w:type="dxa"/>
          <w:right w:w="40" w:type="dxa"/>
        </w:tblCellMar>
        <w:tblLook w:val="0000"/>
      </w:tblPr>
      <w:tblGrid>
        <w:gridCol w:w="1526"/>
        <w:gridCol w:w="2537"/>
        <w:gridCol w:w="3521"/>
        <w:gridCol w:w="1992"/>
      </w:tblGrid>
      <w:tr>
        <w:trPr>
          <w:trHeight w:val="845" w:hRule="atLeast"/>
        </w:trPr>
        <w:tc>
          <w:tcPr>
            <w:tcW w:w="15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91"/>
              <w:widowControl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Номер </w:t>
            </w:r>
          </w:p>
          <w:p>
            <w:pPr>
              <w:pStyle w:val="Style91"/>
              <w:widowControl/>
              <w:jc w:val="center"/>
              <w:rPr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по ранжированию</w:t>
            </w:r>
          </w:p>
        </w:tc>
        <w:tc>
          <w:tcPr>
            <w:tcW w:w="2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71"/>
              <w:widowControl/>
              <w:spacing w:lineRule="auto" w:line="240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Идентификационный</w:t>
            </w:r>
          </w:p>
          <w:p>
            <w:pPr>
              <w:pStyle w:val="Style71"/>
              <w:widowControl/>
              <w:spacing w:lineRule="auto" w:line="240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</w:t>
            </w:r>
            <w:r>
              <w:rPr>
                <w:b/>
                <w:bCs/>
                <w:sz w:val="20"/>
                <w:szCs w:val="20"/>
              </w:rPr>
              <w:t>номер</w:t>
            </w:r>
          </w:p>
          <w:p>
            <w:pPr>
              <w:pStyle w:val="Style71"/>
              <w:widowControl/>
              <w:spacing w:lineRule="auto" w:line="240"/>
              <w:rPr>
                <w:b/>
                <w:b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</w:t>
            </w:r>
            <w:r>
              <w:rPr>
                <w:b/>
                <w:bCs/>
                <w:sz w:val="20"/>
                <w:szCs w:val="20"/>
              </w:rPr>
              <w:t>участника</w:t>
            </w:r>
          </w:p>
        </w:tc>
        <w:tc>
          <w:tcPr>
            <w:tcW w:w="352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71"/>
              <w:widowControl/>
              <w:spacing w:lineRule="auto" w:line="240"/>
              <w:rPr>
                <w:b/>
                <w:b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Наименование участника</w:t>
            </w:r>
          </w:p>
        </w:tc>
        <w:tc>
          <w:tcPr>
            <w:tcW w:w="199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71"/>
              <w:widowControl/>
              <w:spacing w:lineRule="auto" w:line="240"/>
              <w:rPr>
                <w:b/>
                <w:b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Сумма предложения, руб.</w:t>
            </w:r>
          </w:p>
        </w:tc>
      </w:tr>
      <w:tr>
        <w:trPr>
          <w:trHeight w:val="237" w:hRule="atLeast"/>
        </w:trPr>
        <w:tc>
          <w:tcPr>
            <w:tcW w:w="15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71"/>
              <w:widowControl/>
              <w:spacing w:lineRule="auto" w:line="240"/>
              <w:rPr>
                <w:sz w:val="20"/>
                <w:szCs w:val="20"/>
              </w:rPr>
            </w:pPr>
            <w:r>
              <w:rPr>
                <w:rStyle w:val="FontStyle20"/>
                <w:sz w:val="18"/>
                <w:szCs w:val="18"/>
              </w:rPr>
              <w:t>1</w:t>
            </w:r>
          </w:p>
        </w:tc>
        <w:tc>
          <w:tcPr>
            <w:tcW w:w="2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18"/>
                <w:szCs w:val="18"/>
              </w:rPr>
              <w:t xml:space="preserve">Участник № </w:t>
            </w:r>
            <w:r>
              <w:rPr>
                <w:sz w:val="18"/>
                <w:szCs w:val="18"/>
                <w:lang w:val="en-US"/>
              </w:rPr>
              <w:t>EA-59464</w:t>
            </w:r>
          </w:p>
        </w:tc>
        <w:tc>
          <w:tcPr>
            <w:tcW w:w="352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ООО "ПРОЦЕССОРГРУПП"</w:t>
            </w:r>
          </w:p>
        </w:tc>
        <w:tc>
          <w:tcPr>
            <w:tcW w:w="199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auto"/>
                <w:kern w:val="0"/>
                <w:sz w:val="18"/>
                <w:szCs w:val="18"/>
                <w:lang w:val="ru-RU" w:eastAsia="ru-RU" w:bidi="ar-SA"/>
              </w:rPr>
              <w:t>168 681,80</w:t>
            </w:r>
          </w:p>
        </w:tc>
      </w:tr>
      <w:tr>
        <w:trPr>
          <w:trHeight w:val="128" w:hRule="atLeast"/>
        </w:trPr>
        <w:tc>
          <w:tcPr>
            <w:tcW w:w="15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71"/>
              <w:widowControl/>
              <w:spacing w:lineRule="auto" w:line="240"/>
              <w:rPr>
                <w:sz w:val="20"/>
                <w:szCs w:val="20"/>
              </w:rPr>
            </w:pPr>
            <w:r>
              <w:rPr>
                <w:rStyle w:val="FontStyle20"/>
                <w:sz w:val="18"/>
                <w:szCs w:val="18"/>
              </w:rPr>
              <w:t>2</w:t>
            </w:r>
          </w:p>
        </w:tc>
        <w:tc>
          <w:tcPr>
            <w:tcW w:w="2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18"/>
                <w:szCs w:val="18"/>
              </w:rPr>
              <w:t xml:space="preserve">Участник № </w:t>
            </w:r>
            <w:r>
              <w:rPr>
                <w:sz w:val="18"/>
                <w:szCs w:val="18"/>
                <w:lang w:val="en-US"/>
              </w:rPr>
              <w:t>EA-59605</w:t>
            </w:r>
          </w:p>
        </w:tc>
        <w:tc>
          <w:tcPr>
            <w:tcW w:w="352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КОРОТКИХ ВИКТОРИЯ АНАТОЛЬЕВНА</w:t>
            </w:r>
          </w:p>
        </w:tc>
        <w:tc>
          <w:tcPr>
            <w:tcW w:w="199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auto"/>
                <w:kern w:val="0"/>
                <w:sz w:val="18"/>
                <w:szCs w:val="18"/>
                <w:lang w:val="ru-RU" w:eastAsia="ru-RU" w:bidi="ar-SA"/>
              </w:rPr>
              <w:t>171 057,60</w:t>
            </w:r>
          </w:p>
        </w:tc>
      </w:tr>
      <w:tr>
        <w:trPr>
          <w:trHeight w:val="128" w:hRule="atLeast"/>
        </w:trPr>
        <w:tc>
          <w:tcPr>
            <w:tcW w:w="152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71"/>
              <w:widowControl/>
              <w:spacing w:lineRule="auto" w:line="240"/>
              <w:rPr>
                <w:sz w:val="20"/>
                <w:szCs w:val="20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253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28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Участник № EA-59578</w:t>
            </w:r>
          </w:p>
        </w:tc>
        <w:tc>
          <w:tcPr>
            <w:tcW w:w="3521" w:type="dxa"/>
            <w:tcBorders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ООО "АЛЫЕ ПАРУСА"</w:t>
            </w:r>
          </w:p>
        </w:tc>
        <w:tc>
          <w:tcPr>
            <w:tcW w:w="1992" w:type="dxa"/>
            <w:tcBorders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auto"/>
                <w:kern w:val="0"/>
                <w:sz w:val="18"/>
                <w:szCs w:val="18"/>
                <w:lang w:val="ru-RU" w:eastAsia="ru-RU" w:bidi="ar-SA"/>
              </w:rPr>
              <w:t>256 586,40</w:t>
            </w:r>
          </w:p>
        </w:tc>
      </w:tr>
    </w:tbl>
    <w:p>
      <w:pPr>
        <w:pStyle w:val="Style41"/>
        <w:widowControl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Style41"/>
        <w:widowControl/>
        <w:jc w:val="both"/>
        <w:rPr>
          <w:sz w:val="20"/>
          <w:szCs w:val="20"/>
        </w:rPr>
      </w:pPr>
      <w:r>
        <w:rPr>
          <w:sz w:val="20"/>
          <w:szCs w:val="20"/>
        </w:rPr>
        <w:t>Членами аукционной комиссии принято решение:</w:t>
      </w:r>
    </w:p>
    <w:p>
      <w:pPr>
        <w:pStyle w:val="Style41"/>
        <w:widowControl/>
        <w:jc w:val="both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W w:w="9645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1473"/>
        <w:gridCol w:w="1595"/>
        <w:gridCol w:w="1405"/>
        <w:gridCol w:w="1541"/>
        <w:gridCol w:w="1922"/>
        <w:gridCol w:w="1708"/>
      </w:tblGrid>
      <w:tr>
        <w:trPr/>
        <w:tc>
          <w:tcPr>
            <w:tcW w:w="14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Члены комиссии</w:t>
            </w:r>
          </w:p>
        </w:tc>
        <w:tc>
          <w:tcPr>
            <w:tcW w:w="15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b w:val="false"/>
                <w:bCs w:val="false"/>
                <w:sz w:val="18"/>
                <w:szCs w:val="18"/>
              </w:rPr>
              <w:t>Полторацкий Алексей Николаевич</w:t>
            </w:r>
          </w:p>
        </w:tc>
        <w:tc>
          <w:tcPr>
            <w:tcW w:w="14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b w:val="false"/>
                <w:bCs w:val="false"/>
                <w:sz w:val="18"/>
                <w:szCs w:val="18"/>
                <w:lang w:eastAsia="zh-CN"/>
              </w:rPr>
              <w:t>Попов Евгений Александрович</w:t>
            </w:r>
          </w:p>
        </w:tc>
        <w:tc>
          <w:tcPr>
            <w:tcW w:w="1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jc w:val="center"/>
              <w:rPr>
                <w:sz w:val="18"/>
                <w:szCs w:val="18"/>
                <w:lang w:eastAsia="zh-CN"/>
              </w:rPr>
            </w:pPr>
            <w:r>
              <w:rPr>
                <w:b w:val="false"/>
                <w:bCs w:val="false"/>
                <w:color w:val="000000"/>
                <w:sz w:val="18"/>
                <w:szCs w:val="18"/>
                <w:lang w:eastAsia="zh-CN"/>
              </w:rPr>
              <w:t>Иванников Михаил Иванович</w:t>
            </w:r>
          </w:p>
        </w:tc>
        <w:tc>
          <w:tcPr>
            <w:tcW w:w="19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b w:val="false"/>
                <w:bCs w:val="false"/>
                <w:color w:val="auto"/>
                <w:sz w:val="18"/>
                <w:szCs w:val="18"/>
                <w:lang w:val="ru-RU" w:eastAsia="zh-CN" w:bidi="ar-SA"/>
              </w:rPr>
              <w:t>Руденко Дмитрий Викторович</w:t>
            </w:r>
          </w:p>
        </w:tc>
        <w:tc>
          <w:tcPr>
            <w:tcW w:w="1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jc w:val="center"/>
              <w:rPr>
                <w:rFonts w:eastAsia="Times New Roman" w:cs="Times New Roman"/>
                <w:color w:val="auto"/>
                <w:sz w:val="20"/>
                <w:szCs w:val="20"/>
                <w:lang w:val="ru-RU" w:eastAsia="zh-CN" w:bidi="ar-SA"/>
              </w:rPr>
            </w:pPr>
            <w:r>
              <w:rPr>
                <w:rFonts w:eastAsia="Times New Roman" w:cs="Times New Roman"/>
                <w:b w:val="false"/>
                <w:bCs w:val="false"/>
                <w:color w:val="auto"/>
                <w:sz w:val="18"/>
                <w:szCs w:val="18"/>
                <w:lang w:val="ru-RU" w:eastAsia="zh-CN" w:bidi="ar-SA"/>
              </w:rPr>
              <w:t>Жиляев Михаил Евгеньевич</w:t>
            </w:r>
          </w:p>
        </w:tc>
      </w:tr>
      <w:tr>
        <w:trPr/>
        <w:tc>
          <w:tcPr>
            <w:tcW w:w="147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/>
              <w:jc w:val="center"/>
              <w:rPr>
                <w:sz w:val="20"/>
                <w:szCs w:val="20"/>
              </w:rPr>
            </w:pPr>
            <w:r>
              <w:rPr>
                <w:sz w:val="18"/>
                <w:szCs w:val="18"/>
              </w:rPr>
              <w:t xml:space="preserve">Решение по Заявке № 1 </w:t>
            </w:r>
            <w:r>
              <w:rPr>
                <w:rFonts w:eastAsia="Times New Roman" w:cs="Times New Roman"/>
                <w:color w:val="auto"/>
                <w:kern w:val="0"/>
                <w:sz w:val="18"/>
                <w:szCs w:val="18"/>
                <w:lang w:val="en-US" w:eastAsia="ru-RU" w:bidi="ar-SA"/>
              </w:rPr>
              <w:t>ООО "ПРОЦЕССОРГРУПП"</w:t>
            </w:r>
          </w:p>
        </w:tc>
        <w:tc>
          <w:tcPr>
            <w:tcW w:w="15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Соответствует требованиям</w:t>
            </w:r>
          </w:p>
        </w:tc>
        <w:tc>
          <w:tcPr>
            <w:tcW w:w="140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Соответствует требованиям</w:t>
            </w:r>
          </w:p>
        </w:tc>
        <w:tc>
          <w:tcPr>
            <w:tcW w:w="154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Соответствует требованиям</w:t>
            </w:r>
          </w:p>
        </w:tc>
        <w:tc>
          <w:tcPr>
            <w:tcW w:w="192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Соответствует требованиям</w:t>
            </w:r>
          </w:p>
        </w:tc>
        <w:tc>
          <w:tcPr>
            <w:tcW w:w="170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Соответствует требованиям</w:t>
            </w:r>
          </w:p>
        </w:tc>
      </w:tr>
      <w:tr>
        <w:trPr/>
        <w:tc>
          <w:tcPr>
            <w:tcW w:w="147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/>
              <w:jc w:val="center"/>
              <w:rPr>
                <w:sz w:val="20"/>
                <w:szCs w:val="20"/>
              </w:rPr>
            </w:pPr>
            <w:r>
              <w:rPr>
                <w:sz w:val="18"/>
                <w:szCs w:val="18"/>
              </w:rPr>
              <w:t xml:space="preserve">Решение по Заявке № 2 </w:t>
            </w:r>
            <w:r>
              <w:rPr>
                <w:rFonts w:eastAsia="Times New Roman" w:cs="Times New Roman"/>
                <w:color w:val="auto"/>
                <w:kern w:val="0"/>
                <w:sz w:val="18"/>
                <w:szCs w:val="18"/>
                <w:lang w:val="en-US" w:eastAsia="ru-RU" w:bidi="ar-SA"/>
              </w:rPr>
              <w:t>КОРОТКИХ ВИКТОРИЯ АНАТОЛЬЕВНА</w:t>
            </w:r>
          </w:p>
        </w:tc>
        <w:tc>
          <w:tcPr>
            <w:tcW w:w="15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Соответствует требованиям</w:t>
            </w:r>
          </w:p>
        </w:tc>
        <w:tc>
          <w:tcPr>
            <w:tcW w:w="140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Соответствует требованиям</w:t>
            </w:r>
          </w:p>
        </w:tc>
        <w:tc>
          <w:tcPr>
            <w:tcW w:w="154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Соответствует требованиям</w:t>
            </w:r>
          </w:p>
        </w:tc>
        <w:tc>
          <w:tcPr>
            <w:tcW w:w="192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Соответствует требованиям</w:t>
            </w:r>
          </w:p>
        </w:tc>
        <w:tc>
          <w:tcPr>
            <w:tcW w:w="170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Соответствует требованиям</w:t>
            </w:r>
          </w:p>
        </w:tc>
      </w:tr>
      <w:tr>
        <w:trPr>
          <w:trHeight w:val="1461" w:hRule="atLeast"/>
        </w:trPr>
        <w:tc>
          <w:tcPr>
            <w:tcW w:w="147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/>
              <w:jc w:val="center"/>
              <w:rPr>
                <w:sz w:val="20"/>
                <w:szCs w:val="20"/>
              </w:rPr>
            </w:pPr>
            <w:r>
              <w:rPr>
                <w:sz w:val="18"/>
                <w:szCs w:val="18"/>
              </w:rPr>
              <w:t xml:space="preserve">Решение по Заявке № 3 </w:t>
            </w:r>
            <w:r>
              <w:rPr>
                <w:rFonts w:eastAsia="Times New Roman" w:cs="Times New Roman"/>
                <w:color w:val="auto"/>
                <w:kern w:val="0"/>
                <w:sz w:val="18"/>
                <w:szCs w:val="18"/>
                <w:lang w:val="en-US" w:eastAsia="ru-RU" w:bidi="ar-SA"/>
              </w:rPr>
              <w:t>ООО "АЛЫЕ ПАРУСА"</w:t>
            </w:r>
          </w:p>
        </w:tc>
        <w:tc>
          <w:tcPr>
            <w:tcW w:w="15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Соответствует требованиям</w:t>
            </w:r>
          </w:p>
        </w:tc>
        <w:tc>
          <w:tcPr>
            <w:tcW w:w="140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Соответствует требованиям</w:t>
            </w:r>
          </w:p>
        </w:tc>
        <w:tc>
          <w:tcPr>
            <w:tcW w:w="154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Соответствует требованиям</w:t>
            </w:r>
          </w:p>
        </w:tc>
        <w:tc>
          <w:tcPr>
            <w:tcW w:w="192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Соответствует требованиям</w:t>
            </w:r>
          </w:p>
        </w:tc>
        <w:tc>
          <w:tcPr>
            <w:tcW w:w="170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Соответствует требованиям</w:t>
            </w:r>
          </w:p>
        </w:tc>
      </w:tr>
    </w:tbl>
    <w:p>
      <w:pPr>
        <w:pStyle w:val="Normal"/>
        <w:ind w:firstLine="720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firstLine="720"/>
        <w:jc w:val="both"/>
        <w:rPr>
          <w:sz w:val="20"/>
          <w:szCs w:val="20"/>
        </w:rPr>
      </w:pPr>
      <w:r>
        <w:rPr>
          <w:b w:val="false"/>
          <w:sz w:val="20"/>
          <w:szCs w:val="20"/>
          <w:lang w:val="en-US"/>
        </w:rPr>
        <w:t xml:space="preserve">В результате рассмотрения вторых частей заявок признать победителем электронного аукциона - </w:t>
      </w:r>
      <w:r>
        <w:rPr>
          <w:rFonts w:eastAsia="Times New Roman"/>
          <w:b w:val="false"/>
          <w:sz w:val="20"/>
          <w:szCs w:val="20"/>
          <w:lang w:val="en-US"/>
        </w:rPr>
        <w:t>ОБЩЕСТВО С ОГРАНИЧЕННОЙ ОТВЕТСТВЕННОСТЬЮ "ПРОЦЕССОРГРУПП"</w:t>
      </w:r>
      <w:r>
        <w:rPr>
          <w:b w:val="false"/>
          <w:sz w:val="20"/>
          <w:szCs w:val="20"/>
          <w:lang w:val="en-US"/>
        </w:rPr>
        <w:t xml:space="preserve"> ИНН </w:t>
      </w:r>
      <w:r>
        <w:rPr>
          <w:rFonts w:eastAsia="Times New Roman" w:cs="Times New Roman"/>
          <w:b w:val="false"/>
          <w:color w:val="auto"/>
          <w:kern w:val="0"/>
          <w:sz w:val="20"/>
          <w:szCs w:val="20"/>
          <w:lang w:val="en-US" w:eastAsia="ru-RU" w:bidi="ar-SA"/>
        </w:rPr>
        <w:t>3664234516</w:t>
      </w:r>
      <w:r>
        <w:rPr>
          <w:b w:val="false"/>
          <w:sz w:val="20"/>
          <w:szCs w:val="20"/>
          <w:lang w:val="en-US"/>
        </w:rPr>
        <w:t xml:space="preserve">, предложившего цену контракта </w:t>
      </w:r>
      <w:r>
        <w:rPr>
          <w:rFonts w:eastAsia="Times New Roman" w:cs="Times New Roman"/>
          <w:b w:val="false"/>
          <w:color w:val="auto"/>
          <w:kern w:val="0"/>
          <w:sz w:val="20"/>
          <w:szCs w:val="20"/>
          <w:lang w:val="en-US" w:eastAsia="ru-RU" w:bidi="ar-SA"/>
        </w:rPr>
        <w:t xml:space="preserve">168 681,80 </w:t>
      </w:r>
      <w:r>
        <w:rPr>
          <w:b w:val="false"/>
          <w:sz w:val="20"/>
          <w:szCs w:val="20"/>
          <w:lang w:val="en-US"/>
        </w:rPr>
        <w:t>RUB</w:t>
      </w:r>
      <w:r>
        <w:rPr>
          <w:sz w:val="20"/>
          <w:szCs w:val="20"/>
          <w:lang w:val="en-US"/>
        </w:rPr>
        <w:t>.</w:t>
      </w:r>
    </w:p>
    <w:p>
      <w:pPr>
        <w:pStyle w:val="Normal"/>
        <w:ind w:firstLine="720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firstLine="720"/>
        <w:jc w:val="both"/>
        <w:rPr>
          <w:sz w:val="20"/>
          <w:szCs w:val="20"/>
        </w:rPr>
      </w:pPr>
      <w:hyperlink r:id="rId2">
        <w:r>
          <w:rPr>
            <w:color w:val="000000"/>
            <w:sz w:val="20"/>
            <w:szCs w:val="20"/>
            <w:u w:val="none"/>
          </w:rPr>
          <w:t xml:space="preserve">Протокол составлен в одном экземпляре, который хранится в </w:t>
        </w:r>
        <w:r>
          <w:rPr>
            <w:rFonts w:eastAsia="Times New Roman" w:cs="Times New Roman"/>
            <w:color w:val="000000"/>
            <w:sz w:val="20"/>
            <w:szCs w:val="20"/>
            <w:u w:val="none"/>
            <w:lang w:eastAsia="ru-RU"/>
          </w:rPr>
          <w:t>областном казенном учреждении «Центр закупок Курской области»</w:t>
        </w:r>
        <w:r>
          <w:rPr>
            <w:color w:val="000000"/>
            <w:sz w:val="20"/>
            <w:szCs w:val="20"/>
            <w:u w:val="none"/>
          </w:rPr>
          <w:t xml:space="preserve"> и подписан всеми присутствующими членами аукционной комиссии.</w:t>
        </w:r>
      </w:hyperlink>
    </w:p>
    <w:p>
      <w:pPr>
        <w:pStyle w:val="Style41"/>
        <w:widowControl/>
        <w:tabs>
          <w:tab w:val="clear" w:pos="709"/>
          <w:tab w:val="left" w:pos="7336" w:leader="none"/>
        </w:tabs>
        <w:spacing w:before="72" w:after="0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W w:w="9641" w:type="dxa"/>
        <w:jc w:val="left"/>
        <w:tblInd w:w="106" w:type="dxa"/>
        <w:tblCellMar>
          <w:top w:w="0" w:type="dxa"/>
          <w:left w:w="108" w:type="dxa"/>
          <w:bottom w:w="0" w:type="dxa"/>
          <w:right w:w="108" w:type="dxa"/>
        </w:tblCellMar>
        <w:tblLook w:val="01e0"/>
      </w:tblPr>
      <w:tblGrid>
        <w:gridCol w:w="7377"/>
        <w:gridCol w:w="2263"/>
      </w:tblGrid>
      <w:tr>
        <w:trPr>
          <w:trHeight w:val="851" w:hRule="atLeast"/>
        </w:trPr>
        <w:tc>
          <w:tcPr>
            <w:tcW w:w="7377" w:type="dxa"/>
            <w:tcBorders/>
          </w:tcPr>
          <w:p>
            <w:pPr>
              <w:pStyle w:val="Style24"/>
              <w:numPr>
                <w:ilvl w:val="0"/>
                <w:numId w:val="0"/>
              </w:numPr>
              <w:spacing w:beforeAutospacing="0" w:before="280" w:afterAutospacing="0" w:after="280"/>
              <w:ind w:left="0" w:hanging="0"/>
              <w:jc w:val="both"/>
              <w:outlineLvl w:val="0"/>
              <w:rPr>
                <w:sz w:val="18"/>
                <w:szCs w:val="18"/>
              </w:rPr>
            </w:pPr>
            <w:hyperlink r:id="rId3">
              <w:r>
                <w:rPr>
                  <w:rFonts w:cs="Times New Roman"/>
                  <w:color w:val="000000"/>
                  <w:sz w:val="20"/>
                  <w:szCs w:val="20"/>
                </w:rPr>
                <w:t>Председатель комиссии:</w:t>
              </w:r>
            </w:hyperlink>
          </w:p>
        </w:tc>
        <w:tc>
          <w:tcPr>
            <w:tcW w:w="2263" w:type="dxa"/>
            <w:tcBorders/>
          </w:tcPr>
          <w:p>
            <w:pPr>
              <w:pStyle w:val="Normal"/>
              <w:ind w:right="-416" w:hanging="0"/>
              <w:jc w:val="both"/>
              <w:rPr>
                <w:sz w:val="18"/>
                <w:szCs w:val="18"/>
              </w:rPr>
            </w:pPr>
            <w:hyperlink r:id="rId4">
              <w:r>
                <w:rPr>
                  <w:rFonts w:cs="Times New Roman"/>
                  <w:color w:val="000000"/>
                  <w:sz w:val="18"/>
                  <w:szCs w:val="18"/>
                </w:rPr>
                <w:t>А.Н. Полторацкий</w:t>
              </w:r>
            </w:hyperlink>
          </w:p>
        </w:tc>
      </w:tr>
      <w:tr>
        <w:trPr>
          <w:trHeight w:val="851" w:hRule="atLeast"/>
        </w:trPr>
        <w:tc>
          <w:tcPr>
            <w:tcW w:w="7377" w:type="dxa"/>
            <w:tcBorders/>
          </w:tcPr>
          <w:p>
            <w:pPr>
              <w:pStyle w:val="Style24"/>
              <w:numPr>
                <w:ilvl w:val="0"/>
                <w:numId w:val="0"/>
              </w:numPr>
              <w:spacing w:beforeAutospacing="0" w:before="280" w:afterAutospacing="0" w:after="280"/>
              <w:ind w:left="0" w:hanging="0"/>
              <w:jc w:val="both"/>
              <w:outlineLvl w:val="0"/>
              <w:rPr>
                <w:color w:val="auto"/>
                <w:sz w:val="18"/>
                <w:szCs w:val="18"/>
              </w:rPr>
            </w:pPr>
            <w:hyperlink r:id="rId5">
              <w:r>
                <w:rPr>
                  <w:rFonts w:cs="Times New Roman"/>
                  <w:color w:val="000000"/>
                  <w:sz w:val="20"/>
                  <w:szCs w:val="20"/>
                </w:rPr>
                <w:t>Заместитель председателя комиссии:</w:t>
              </w:r>
            </w:hyperlink>
          </w:p>
        </w:tc>
        <w:tc>
          <w:tcPr>
            <w:tcW w:w="2263" w:type="dxa"/>
            <w:tcBorders/>
          </w:tcPr>
          <w:p>
            <w:pPr>
              <w:pStyle w:val="Normal"/>
              <w:ind w:right="-416" w:hanging="0"/>
              <w:jc w:val="both"/>
              <w:rPr>
                <w:sz w:val="18"/>
                <w:szCs w:val="18"/>
              </w:rPr>
            </w:pPr>
            <w:hyperlink r:id="rId6">
              <w:r>
                <w:rPr>
                  <w:rFonts w:cs="Times New Roman"/>
                  <w:color w:val="000000"/>
                  <w:sz w:val="18"/>
                  <w:szCs w:val="18"/>
                </w:rPr>
                <w:t>Е.А. Попов</w:t>
              </w:r>
            </w:hyperlink>
          </w:p>
        </w:tc>
      </w:tr>
      <w:tr>
        <w:trPr>
          <w:trHeight w:val="563" w:hRule="atLeast"/>
        </w:trPr>
        <w:tc>
          <w:tcPr>
            <w:tcW w:w="7377" w:type="dxa"/>
            <w:tcBorders/>
          </w:tcPr>
          <w:p>
            <w:pPr>
              <w:pStyle w:val="Style24"/>
              <w:numPr>
                <w:ilvl w:val="0"/>
                <w:numId w:val="0"/>
              </w:numPr>
              <w:spacing w:beforeAutospacing="0" w:before="280" w:afterAutospacing="0" w:after="280"/>
              <w:ind w:left="0" w:hanging="0"/>
              <w:jc w:val="both"/>
              <w:outlineLvl w:val="0"/>
              <w:rPr>
                <w:color w:val="auto"/>
                <w:sz w:val="18"/>
                <w:szCs w:val="18"/>
              </w:rPr>
            </w:pPr>
            <w:hyperlink r:id="rId7">
              <w:r>
                <w:rPr>
                  <w:rFonts w:cs="Times New Roman"/>
                  <w:color w:val="000000"/>
                  <w:sz w:val="20"/>
                  <w:szCs w:val="20"/>
                </w:rPr>
                <w:t>Секретарь аукционной комиссии:</w:t>
              </w:r>
            </w:hyperlink>
          </w:p>
        </w:tc>
        <w:tc>
          <w:tcPr>
            <w:tcW w:w="2263" w:type="dxa"/>
            <w:tcBorders/>
          </w:tcPr>
          <w:p>
            <w:pPr>
              <w:pStyle w:val="Normal"/>
              <w:ind w:right="-416" w:hanging="0"/>
              <w:jc w:val="both"/>
              <w:rPr>
                <w:sz w:val="18"/>
                <w:szCs w:val="18"/>
              </w:rPr>
            </w:pPr>
            <w:hyperlink r:id="rId8">
              <w:r>
                <w:rPr>
                  <w:rFonts w:cs="Times New Roman"/>
                  <w:color w:val="000000"/>
                  <w:sz w:val="18"/>
                  <w:szCs w:val="18"/>
                </w:rPr>
                <w:t>М.И. Иванников</w:t>
              </w:r>
            </w:hyperlink>
          </w:p>
        </w:tc>
      </w:tr>
      <w:tr>
        <w:trPr>
          <w:trHeight w:val="851" w:hRule="atLeast"/>
        </w:trPr>
        <w:tc>
          <w:tcPr>
            <w:tcW w:w="7377" w:type="dxa"/>
            <w:tcBorders/>
          </w:tcPr>
          <w:p>
            <w:pPr>
              <w:pStyle w:val="Style24"/>
              <w:numPr>
                <w:ilvl w:val="0"/>
                <w:numId w:val="0"/>
              </w:numPr>
              <w:spacing w:beforeAutospacing="0" w:before="280" w:afterAutospacing="0" w:after="280"/>
              <w:ind w:left="0" w:hanging="0"/>
              <w:jc w:val="both"/>
              <w:outlineLvl w:val="0"/>
              <w:rPr>
                <w:color w:val="auto"/>
                <w:sz w:val="18"/>
                <w:szCs w:val="18"/>
              </w:rPr>
            </w:pPr>
            <w:hyperlink r:id="rId9">
              <w:r>
                <w:rPr>
                  <w:color w:val="000000"/>
                  <w:sz w:val="20"/>
                  <w:szCs w:val="20"/>
                </w:rPr>
                <w:t>Члены аукционной комиссии:</w:t>
              </w:r>
            </w:hyperlink>
          </w:p>
        </w:tc>
        <w:tc>
          <w:tcPr>
            <w:tcW w:w="2263" w:type="dxa"/>
            <w:tcBorders/>
          </w:tcPr>
          <w:p>
            <w:pPr>
              <w:pStyle w:val="Normal"/>
              <w:rPr>
                <w:rFonts w:eastAsia="Times New Roman" w:cs="Times New Roman"/>
                <w:color w:val="auto"/>
                <w:sz w:val="20"/>
                <w:szCs w:val="20"/>
                <w:lang w:val="ru-RU" w:eastAsia="zh-CN" w:bidi="ar-SA"/>
              </w:rPr>
            </w:pPr>
            <w:r>
              <w:rPr>
                <w:rFonts w:eastAsia="Times New Roman" w:cs="Times New Roman"/>
                <w:color w:val="auto"/>
                <w:sz w:val="18"/>
                <w:szCs w:val="18"/>
                <w:lang w:val="ru-RU" w:eastAsia="zh-CN" w:bidi="ar-SA"/>
              </w:rPr>
              <w:t>М.Е. Жиляев</w:t>
            </w:r>
          </w:p>
        </w:tc>
      </w:tr>
      <w:tr>
        <w:trPr>
          <w:trHeight w:val="851" w:hRule="atLeast"/>
        </w:trPr>
        <w:tc>
          <w:tcPr>
            <w:tcW w:w="7377" w:type="dxa"/>
            <w:tcBorders/>
          </w:tcPr>
          <w:p>
            <w:pPr>
              <w:pStyle w:val="Style24"/>
              <w:numPr>
                <w:ilvl w:val="0"/>
                <w:numId w:val="0"/>
              </w:numPr>
              <w:spacing w:beforeAutospacing="0" w:before="280" w:afterAutospacing="0" w:after="280"/>
              <w:ind w:left="0" w:hanging="0"/>
              <w:jc w:val="both"/>
              <w:outlineLvl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2263" w:type="dxa"/>
            <w:tcBorders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18"/>
                <w:szCs w:val="18"/>
              </w:rPr>
              <w:t>Д.В. Руденко</w:t>
            </w:r>
          </w:p>
        </w:tc>
      </w:tr>
    </w:tbl>
    <w:p>
      <w:pPr>
        <w:pStyle w:val="Normal"/>
        <w:widowControl/>
        <w:jc w:val="center"/>
        <w:rPr>
          <w:sz w:val="20"/>
          <w:szCs w:val="20"/>
        </w:rPr>
      </w:pPr>
      <w:r>
        <w:rPr/>
      </w:r>
    </w:p>
    <w:sectPr>
      <w:type w:val="nextPage"/>
      <w:pgSz w:w="11906" w:h="16838"/>
      <w:pgMar w:left="1134" w:right="1134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ourier New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ahoma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9"/>
  <w:autoHyphenation w:val="tru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Body Text Indent" w:uiPriority="0"/>
    <w:lsdException w:name="Subtitle" w:uiPriority="11" w:semiHidden="0" w:unhideWhenUsed="0" w:qFormat="1"/>
    <w:lsdException w:name="Strong" w:uiPriority="22" w:semiHidden="0" w:unhideWhenUsed="0" w:qFormat="1"/>
    <w:lsdException w:name="Emphasis" w:uiPriority="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a50486"/>
    <w:pPr>
      <w:widowControl w:val="false"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FontStyle17" w:customStyle="1">
    <w:name w:val="Font Style17"/>
    <w:basedOn w:val="DefaultParagraphFont"/>
    <w:uiPriority w:val="99"/>
    <w:qFormat/>
    <w:rsid w:val="00a50486"/>
    <w:rPr>
      <w:rFonts w:ascii="Times New Roman" w:hAnsi="Times New Roman" w:cs="Times New Roman"/>
      <w:b/>
      <w:bCs/>
      <w:sz w:val="24"/>
      <w:szCs w:val="24"/>
    </w:rPr>
  </w:style>
  <w:style w:type="character" w:styleId="FontStyle18" w:customStyle="1">
    <w:name w:val="Font Style18"/>
    <w:basedOn w:val="DefaultParagraphFont"/>
    <w:uiPriority w:val="99"/>
    <w:qFormat/>
    <w:rsid w:val="00a50486"/>
    <w:rPr>
      <w:rFonts w:ascii="Times New Roman" w:hAnsi="Times New Roman" w:cs="Times New Roman"/>
      <w:b/>
      <w:bCs/>
      <w:sz w:val="18"/>
      <w:szCs w:val="18"/>
    </w:rPr>
  </w:style>
  <w:style w:type="character" w:styleId="FontStyle20" w:customStyle="1">
    <w:name w:val="Font Style20"/>
    <w:basedOn w:val="DefaultParagraphFont"/>
    <w:uiPriority w:val="99"/>
    <w:qFormat/>
    <w:rsid w:val="00a50486"/>
    <w:rPr>
      <w:rFonts w:ascii="Times New Roman" w:hAnsi="Times New Roman" w:cs="Times New Roman"/>
      <w:sz w:val="18"/>
      <w:szCs w:val="18"/>
    </w:rPr>
  </w:style>
  <w:style w:type="character" w:styleId="Style14" w:customStyle="1">
    <w:name w:val="Название Знак"/>
    <w:basedOn w:val="DefaultParagraphFont"/>
    <w:link w:val="a3"/>
    <w:uiPriority w:val="10"/>
    <w:qFormat/>
    <w:rsid w:val="00a50486"/>
    <w:rPr>
      <w:rFonts w:ascii="Times New Roman" w:hAnsi="Times New Roman" w:eastAsia="Times New Roman" w:cs="Times New Roman"/>
      <w:color w:val="000000"/>
      <w:sz w:val="24"/>
      <w:szCs w:val="24"/>
      <w:lang w:eastAsia="ru-RU"/>
    </w:rPr>
  </w:style>
  <w:style w:type="character" w:styleId="FontStyle13" w:customStyle="1">
    <w:name w:val="Font Style13"/>
    <w:basedOn w:val="DefaultParagraphFont"/>
    <w:uiPriority w:val="99"/>
    <w:qFormat/>
    <w:rsid w:val="00a50486"/>
    <w:rPr>
      <w:rFonts w:ascii="Times New Roman" w:hAnsi="Times New Roman" w:cs="Times New Roman"/>
      <w:sz w:val="26"/>
      <w:szCs w:val="26"/>
    </w:rPr>
  </w:style>
  <w:style w:type="character" w:styleId="Style15" w:customStyle="1">
    <w:name w:val="Основной текст с отступом Знак"/>
    <w:basedOn w:val="DefaultParagraphFont"/>
    <w:link w:val="a5"/>
    <w:qFormat/>
    <w:rsid w:val="00a50486"/>
    <w:rPr>
      <w:rFonts w:ascii="Times New Roman" w:hAnsi="Times New Roman" w:eastAsia="Times New Roman" w:cs="Times New Roman"/>
      <w:color w:val="000000"/>
      <w:sz w:val="24"/>
      <w:szCs w:val="24"/>
      <w:lang w:eastAsia="ru-RU"/>
    </w:rPr>
  </w:style>
  <w:style w:type="character" w:styleId="2" w:customStyle="1">
    <w:name w:val="Основной текст с отступом 2 Знак"/>
    <w:basedOn w:val="DefaultParagraphFont"/>
    <w:link w:val="2"/>
    <w:uiPriority w:val="99"/>
    <w:qFormat/>
    <w:rsid w:val="00a50486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ConsPlusNormal" w:customStyle="1">
    <w:name w:val="ConsPlusNormal Знак"/>
    <w:link w:val="ConsPlusNormal"/>
    <w:qFormat/>
    <w:locked/>
    <w:rsid w:val="00a50486"/>
    <w:rPr>
      <w:rFonts w:ascii="Arial" w:hAnsi="Arial" w:eastAsia="Times New Roman" w:cs="Arial"/>
      <w:sz w:val="20"/>
      <w:szCs w:val="20"/>
      <w:lang w:eastAsia="ru-RU"/>
    </w:rPr>
  </w:style>
  <w:style w:type="character" w:styleId="Style16">
    <w:name w:val="Выделение"/>
    <w:qFormat/>
    <w:rsid w:val="00d4388a"/>
    <w:rPr>
      <w:i/>
      <w:iCs/>
    </w:rPr>
  </w:style>
  <w:style w:type="character" w:styleId="Rserrhl1" w:customStyle="1">
    <w:name w:val="rs_err_hl1"/>
    <w:basedOn w:val="DefaultParagraphFont"/>
    <w:qFormat/>
    <w:rsid w:val="00d40b33"/>
    <w:rPr/>
  </w:style>
  <w:style w:type="character" w:styleId="Style17">
    <w:name w:val="Интернет-ссылка"/>
    <w:basedOn w:val="DefaultParagraphFont"/>
    <w:uiPriority w:val="99"/>
    <w:semiHidden/>
    <w:unhideWhenUsed/>
    <w:rsid w:val="00f203a7"/>
    <w:rPr>
      <w:color w:val="0000FF"/>
      <w:u w:val="single"/>
    </w:rPr>
  </w:style>
  <w:style w:type="character" w:styleId="Style18" w:customStyle="1">
    <w:name w:val="Без интервала Знак"/>
    <w:link w:val="a9"/>
    <w:uiPriority w:val="1"/>
    <w:qFormat/>
    <w:locked/>
    <w:rsid w:val="00394a56"/>
    <w:rPr>
      <w:rFonts w:ascii="Times New Roman" w:hAnsi="Times New Roman" w:eastAsia="Times New Roman" w:cs="Times New Roman"/>
      <w:sz w:val="28"/>
      <w:szCs w:val="28"/>
      <w:lang w:eastAsia="ru-RU"/>
    </w:rPr>
  </w:style>
  <w:style w:type="character" w:styleId="Strong">
    <w:name w:val="Strong"/>
    <w:basedOn w:val="DefaultParagraphFont"/>
    <w:uiPriority w:val="22"/>
    <w:qFormat/>
    <w:rsid w:val="009e3f29"/>
    <w:rPr>
      <w:b/>
      <w:bCs/>
    </w:rPr>
  </w:style>
  <w:style w:type="character" w:styleId="1" w:customStyle="1">
    <w:name w:val="Обычный (веб) Знак1"/>
    <w:link w:val="ad"/>
    <w:uiPriority w:val="99"/>
    <w:qFormat/>
    <w:locked/>
    <w:rsid w:val="009e3f29"/>
    <w:rPr>
      <w:rFonts w:ascii="Times New Roman" w:hAnsi="Times New Roman" w:eastAsia="Times New Roman" w:cs="Times New Roman"/>
      <w:sz w:val="24"/>
      <w:szCs w:val="24"/>
    </w:rPr>
  </w:style>
  <w:style w:type="character" w:styleId="CITE">
    <w:name w:val="CITE"/>
    <w:qFormat/>
    <w:rPr>
      <w:i/>
    </w:rPr>
  </w:style>
  <w:style w:type="character" w:styleId="CODE">
    <w:name w:val="CODE"/>
    <w:qFormat/>
    <w:rPr>
      <w:rFonts w:ascii="Courier New" w:hAnsi="Courier New"/>
      <w:sz w:val="20"/>
    </w:rPr>
  </w:style>
  <w:style w:type="character" w:styleId="Keyboard">
    <w:name w:val="Keyboard"/>
    <w:qFormat/>
    <w:rPr>
      <w:rFonts w:ascii="Courier New" w:hAnsi="Courier New"/>
      <w:b/>
      <w:sz w:val="20"/>
    </w:rPr>
  </w:style>
  <w:style w:type="character" w:styleId="Sample">
    <w:name w:val="Sample"/>
    <w:qFormat/>
    <w:rPr>
      <w:rFonts w:ascii="Courier New" w:hAnsi="Courier New"/>
    </w:rPr>
  </w:style>
  <w:style w:type="character" w:styleId="Typewriter">
    <w:name w:val="Typewriter"/>
    <w:qFormat/>
    <w:rPr>
      <w:rFonts w:ascii="Courier New" w:hAnsi="Courier New"/>
      <w:sz w:val="20"/>
    </w:rPr>
  </w:style>
  <w:style w:type="character" w:styleId="HTMLMarkup">
    <w:name w:val="HTML Markup"/>
    <w:qFormat/>
    <w:rPr>
      <w:vanish/>
      <w:color w:val="FF0000"/>
    </w:rPr>
  </w:style>
  <w:style w:type="character" w:styleId="Comment">
    <w:name w:val="Comment"/>
    <w:qFormat/>
    <w:rPr>
      <w:vanish/>
    </w:rPr>
  </w:style>
  <w:style w:type="paragraph" w:styleId="Style19">
    <w:name w:val="Заголовок"/>
    <w:basedOn w:val="Normal"/>
    <w:next w:val="Style20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20">
    <w:name w:val="Body Text"/>
    <w:basedOn w:val="Normal"/>
    <w:pPr>
      <w:spacing w:lineRule="auto" w:line="276" w:before="0" w:after="140"/>
    </w:pPr>
    <w:rPr/>
  </w:style>
  <w:style w:type="paragraph" w:styleId="Style21">
    <w:name w:val="List"/>
    <w:basedOn w:val="Style20"/>
    <w:pPr/>
    <w:rPr>
      <w:rFonts w:cs="Arial"/>
    </w:rPr>
  </w:style>
  <w:style w:type="paragraph" w:styleId="Style22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3">
    <w:name w:val="Указатель"/>
    <w:basedOn w:val="Normal"/>
    <w:qFormat/>
    <w:pPr>
      <w:suppressLineNumbers/>
    </w:pPr>
    <w:rPr>
      <w:rFonts w:cs="Arial"/>
    </w:rPr>
  </w:style>
  <w:style w:type="paragraph" w:styleId="Style41" w:customStyle="1">
    <w:name w:val="Style4"/>
    <w:basedOn w:val="Normal"/>
    <w:uiPriority w:val="99"/>
    <w:qFormat/>
    <w:rsid w:val="00a50486"/>
    <w:pPr/>
    <w:rPr/>
  </w:style>
  <w:style w:type="paragraph" w:styleId="Style51" w:customStyle="1">
    <w:name w:val="Style5"/>
    <w:basedOn w:val="Normal"/>
    <w:uiPriority w:val="99"/>
    <w:qFormat/>
    <w:rsid w:val="00a50486"/>
    <w:pPr>
      <w:spacing w:lineRule="exact" w:line="300"/>
      <w:jc w:val="center"/>
    </w:pPr>
    <w:rPr/>
  </w:style>
  <w:style w:type="paragraph" w:styleId="Style61" w:customStyle="1">
    <w:name w:val="Style6"/>
    <w:basedOn w:val="Normal"/>
    <w:uiPriority w:val="99"/>
    <w:qFormat/>
    <w:rsid w:val="00a50486"/>
    <w:pPr/>
    <w:rPr/>
  </w:style>
  <w:style w:type="paragraph" w:styleId="Style71" w:customStyle="1">
    <w:name w:val="Style7"/>
    <w:basedOn w:val="Normal"/>
    <w:uiPriority w:val="99"/>
    <w:qFormat/>
    <w:rsid w:val="00a50486"/>
    <w:pPr>
      <w:spacing w:lineRule="exact" w:line="230"/>
      <w:jc w:val="center"/>
    </w:pPr>
    <w:rPr/>
  </w:style>
  <w:style w:type="paragraph" w:styleId="Style81" w:customStyle="1">
    <w:name w:val="Style8"/>
    <w:basedOn w:val="Normal"/>
    <w:uiPriority w:val="99"/>
    <w:qFormat/>
    <w:rsid w:val="00a50486"/>
    <w:pPr>
      <w:spacing w:lineRule="exact" w:line="298"/>
      <w:ind w:firstLine="168"/>
      <w:jc w:val="both"/>
    </w:pPr>
    <w:rPr/>
  </w:style>
  <w:style w:type="paragraph" w:styleId="Style91" w:customStyle="1">
    <w:name w:val="Style9"/>
    <w:basedOn w:val="Normal"/>
    <w:uiPriority w:val="99"/>
    <w:qFormat/>
    <w:rsid w:val="00a50486"/>
    <w:pPr/>
    <w:rPr/>
  </w:style>
  <w:style w:type="paragraph" w:styleId="Style24">
    <w:name w:val="Title"/>
    <w:basedOn w:val="Normal"/>
    <w:link w:val="a4"/>
    <w:uiPriority w:val="10"/>
    <w:qFormat/>
    <w:rsid w:val="00a50486"/>
    <w:pPr>
      <w:widowControl/>
      <w:spacing w:beforeAutospacing="1" w:afterAutospacing="1"/>
    </w:pPr>
    <w:rPr>
      <w:color w:val="000000"/>
    </w:rPr>
  </w:style>
  <w:style w:type="paragraph" w:styleId="Style25">
    <w:name w:val="Body Text Indent"/>
    <w:basedOn w:val="Normal"/>
    <w:link w:val="a6"/>
    <w:rsid w:val="00a50486"/>
    <w:pPr>
      <w:widowControl/>
      <w:spacing w:beforeAutospacing="1" w:afterAutospacing="1"/>
    </w:pPr>
    <w:rPr>
      <w:color w:val="000000"/>
    </w:rPr>
  </w:style>
  <w:style w:type="paragraph" w:styleId="BodyTextIndent2">
    <w:name w:val="Body Text Indent 2"/>
    <w:basedOn w:val="Normal"/>
    <w:link w:val="20"/>
    <w:uiPriority w:val="99"/>
    <w:unhideWhenUsed/>
    <w:qFormat/>
    <w:rsid w:val="00a50486"/>
    <w:pPr>
      <w:spacing w:lineRule="auto" w:line="480" w:before="0" w:after="120"/>
      <w:ind w:left="283" w:hanging="0"/>
    </w:pPr>
    <w:rPr/>
  </w:style>
  <w:style w:type="paragraph" w:styleId="ConsPlusNormal1" w:customStyle="1">
    <w:name w:val="ConsPlusNormal"/>
    <w:link w:val="ConsPlusNormal0"/>
    <w:qFormat/>
    <w:rsid w:val="00a50486"/>
    <w:pPr>
      <w:widowControl w:val="false"/>
      <w:suppressAutoHyphens w:val="true"/>
      <w:bidi w:val="0"/>
      <w:spacing w:lineRule="auto" w:line="240" w:before="0" w:after="0"/>
      <w:ind w:firstLine="720"/>
      <w:jc w:val="left"/>
    </w:pPr>
    <w:rPr>
      <w:rFonts w:ascii="Arial" w:hAnsi="Arial" w:eastAsia="Times New Roman" w:cs="Arial"/>
      <w:color w:val="auto"/>
      <w:kern w:val="0"/>
      <w:sz w:val="20"/>
      <w:szCs w:val="20"/>
      <w:lang w:val="ru-RU" w:eastAsia="ru-RU" w:bidi="ar-SA"/>
    </w:rPr>
  </w:style>
  <w:style w:type="paragraph" w:styleId="NoSpacing">
    <w:name w:val="No Spacing"/>
    <w:link w:val="aa"/>
    <w:uiPriority w:val="1"/>
    <w:qFormat/>
    <w:rsid w:val="004248dd"/>
    <w:pPr>
      <w:widowControl/>
      <w:suppressAutoHyphens w:val="true"/>
      <w:bidi w:val="0"/>
      <w:spacing w:lineRule="auto" w:line="240" w:before="0" w:after="0"/>
      <w:ind w:firstLine="567"/>
      <w:jc w:val="both"/>
    </w:pPr>
    <w:rPr>
      <w:rFonts w:ascii="Times New Roman" w:hAnsi="Times New Roman" w:eastAsia="Times New Roman" w:cs="Times New Roman"/>
      <w:color w:val="auto"/>
      <w:kern w:val="0"/>
      <w:sz w:val="28"/>
      <w:szCs w:val="28"/>
      <w:lang w:val="ru-RU" w:eastAsia="ru-RU" w:bidi="ar-SA"/>
    </w:rPr>
  </w:style>
  <w:style w:type="paragraph" w:styleId="21" w:customStyle="1">
    <w:name w:val="Обычный2"/>
    <w:qFormat/>
    <w:rsid w:val="00ec62da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ru-RU" w:eastAsia="ru-RU" w:bidi="ar-SA"/>
    </w:rPr>
  </w:style>
  <w:style w:type="paragraph" w:styleId="Style26" w:customStyle="1">
    <w:name w:val="Пункт"/>
    <w:basedOn w:val="Normal"/>
    <w:qFormat/>
    <w:rsid w:val="005e7d88"/>
    <w:pPr>
      <w:widowControl/>
      <w:tabs>
        <w:tab w:val="clear" w:pos="709"/>
        <w:tab w:val="left" w:pos="1980" w:leader="none"/>
      </w:tabs>
      <w:ind w:left="1404" w:hanging="504"/>
      <w:jc w:val="both"/>
    </w:pPr>
    <w:rPr/>
  </w:style>
  <w:style w:type="paragraph" w:styleId="NormalWeb">
    <w:name w:val="Normal (Web)"/>
    <w:basedOn w:val="Normal"/>
    <w:link w:val="1"/>
    <w:uiPriority w:val="99"/>
    <w:qFormat/>
    <w:rsid w:val="009e3f29"/>
    <w:pPr>
      <w:widowControl/>
      <w:spacing w:beforeAutospacing="1" w:after="119"/>
    </w:pPr>
    <w:rPr/>
  </w:style>
  <w:style w:type="paragraph" w:styleId="Style27">
    <w:name w:val="Обычный"/>
    <w:qFormat/>
    <w:pPr>
      <w:widowControl/>
      <w:suppressAutoHyphens w:val="true"/>
      <w:bidi w:val="0"/>
      <w:spacing w:lineRule="auto" w:line="276" w:before="100" w:after="100"/>
      <w:jc w:val="left"/>
    </w:pPr>
    <w:rPr>
      <w:rFonts w:ascii="Times New Roman" w:hAnsi="Times New Roman" w:eastAsia="Arial" w:cs="Courier New"/>
      <w:color w:val="auto"/>
      <w:kern w:val="0"/>
      <w:sz w:val="24"/>
      <w:szCs w:val="24"/>
      <w:lang w:val="ru-RU" w:eastAsia="en-US" w:bidi="ar-SA"/>
    </w:rPr>
  </w:style>
  <w:style w:type="paragraph" w:styleId="DefinitionTerm">
    <w:name w:val="Definition Term"/>
    <w:basedOn w:val="Style27"/>
    <w:qFormat/>
    <w:pPr/>
    <w:rPr/>
  </w:style>
  <w:style w:type="paragraph" w:styleId="DefinitionList">
    <w:name w:val="Definition List"/>
    <w:basedOn w:val="Style27"/>
    <w:qFormat/>
    <w:pPr>
      <w:ind w:left="360" w:hanging="0"/>
    </w:pPr>
    <w:rPr/>
  </w:style>
  <w:style w:type="paragraph" w:styleId="H1">
    <w:name w:val="H1"/>
    <w:basedOn w:val="Style27"/>
    <w:qFormat/>
    <w:pPr>
      <w:keepNext w:val="true"/>
      <w:spacing w:before="100" w:after="100"/>
      <w:outlineLvl w:val="1"/>
    </w:pPr>
    <w:rPr>
      <w:b/>
      <w:kern w:val="2"/>
      <w:sz w:val="48"/>
    </w:rPr>
  </w:style>
  <w:style w:type="paragraph" w:styleId="H2">
    <w:name w:val="H2"/>
    <w:basedOn w:val="Style27"/>
    <w:qFormat/>
    <w:pPr>
      <w:keepNext w:val="true"/>
      <w:spacing w:before="100" w:after="100"/>
      <w:outlineLvl w:val="2"/>
    </w:pPr>
    <w:rPr>
      <w:b/>
      <w:sz w:val="36"/>
    </w:rPr>
  </w:style>
  <w:style w:type="paragraph" w:styleId="H3">
    <w:name w:val="H3"/>
    <w:basedOn w:val="Style27"/>
    <w:qFormat/>
    <w:pPr>
      <w:keepNext w:val="true"/>
      <w:spacing w:before="100" w:after="100"/>
      <w:outlineLvl w:val="3"/>
    </w:pPr>
    <w:rPr>
      <w:b/>
      <w:sz w:val="28"/>
    </w:rPr>
  </w:style>
  <w:style w:type="paragraph" w:styleId="H4">
    <w:name w:val="H4"/>
    <w:basedOn w:val="Style27"/>
    <w:qFormat/>
    <w:pPr>
      <w:keepNext w:val="true"/>
      <w:spacing w:before="100" w:after="100"/>
      <w:outlineLvl w:val="4"/>
    </w:pPr>
    <w:rPr>
      <w:b/>
      <w:sz w:val="24"/>
    </w:rPr>
  </w:style>
  <w:style w:type="paragraph" w:styleId="H5">
    <w:name w:val="H5"/>
    <w:basedOn w:val="Style27"/>
    <w:qFormat/>
    <w:pPr>
      <w:keepNext w:val="true"/>
      <w:spacing w:before="100" w:after="100"/>
      <w:outlineLvl w:val="5"/>
    </w:pPr>
    <w:rPr>
      <w:b/>
      <w:sz w:val="20"/>
    </w:rPr>
  </w:style>
  <w:style w:type="paragraph" w:styleId="H6">
    <w:name w:val="H6"/>
    <w:basedOn w:val="Style27"/>
    <w:qFormat/>
    <w:pPr>
      <w:keepNext w:val="true"/>
      <w:spacing w:before="100" w:after="100"/>
      <w:outlineLvl w:val="6"/>
    </w:pPr>
    <w:rPr>
      <w:b/>
      <w:sz w:val="16"/>
    </w:rPr>
  </w:style>
  <w:style w:type="paragraph" w:styleId="Address">
    <w:name w:val="Address"/>
    <w:basedOn w:val="Style27"/>
    <w:qFormat/>
    <w:pPr/>
    <w:rPr>
      <w:i/>
    </w:rPr>
  </w:style>
  <w:style w:type="paragraph" w:styleId="Blockquote">
    <w:name w:val="Blockquote"/>
    <w:basedOn w:val="Style27"/>
    <w:qFormat/>
    <w:pPr>
      <w:spacing w:before="100" w:after="100"/>
      <w:ind w:left="360" w:right="360" w:hanging="0"/>
    </w:pPr>
    <w:rPr/>
  </w:style>
  <w:style w:type="paragraph" w:styleId="Preformatted">
    <w:name w:val="Preformatted"/>
    <w:basedOn w:val="Style27"/>
    <w:qFormat/>
    <w:pPr>
      <w:tabs>
        <w:tab w:val="clear" w:pos="709"/>
        <w:tab w:val="left" w:pos="0" w:leader="none"/>
        <w:tab w:val="left" w:pos="959" w:leader="none"/>
        <w:tab w:val="left" w:pos="1918" w:leader="none"/>
        <w:tab w:val="left" w:pos="2877" w:leader="none"/>
        <w:tab w:val="left" w:pos="3836" w:leader="none"/>
        <w:tab w:val="left" w:pos="4795" w:leader="none"/>
        <w:tab w:val="left" w:pos="5754" w:leader="none"/>
        <w:tab w:val="left" w:pos="6713" w:leader="none"/>
        <w:tab w:val="left" w:pos="7672" w:leader="none"/>
        <w:tab w:val="left" w:pos="8631" w:leader="none"/>
        <w:tab w:val="left" w:pos="9590" w:leader="none"/>
      </w:tabs>
      <w:spacing w:before="0" w:after="0"/>
    </w:pPr>
    <w:rPr>
      <w:rFonts w:ascii="Courier New" w:hAnsi="Courier New"/>
      <w:sz w:val="20"/>
    </w:rPr>
  </w:style>
  <w:style w:type="paragraph" w:styleId="ZBottomofForm">
    <w:name w:val="z-Bottom of Form"/>
    <w:qFormat/>
    <w:pPr>
      <w:widowControl/>
      <w:pBdr>
        <w:top w:val="double" w:sz="2" w:space="0" w:color="000000"/>
      </w:pBdr>
      <w:suppressAutoHyphens w:val="true"/>
      <w:bidi w:val="0"/>
      <w:spacing w:lineRule="auto" w:line="276" w:before="0" w:after="200"/>
      <w:jc w:val="center"/>
    </w:pPr>
    <w:rPr>
      <w:rFonts w:ascii="Arial" w:hAnsi="Arial" w:eastAsia="Arial" w:cs="Courier New"/>
      <w:vanish/>
      <w:color w:val="auto"/>
      <w:kern w:val="0"/>
      <w:sz w:val="16"/>
      <w:szCs w:val="24"/>
      <w:lang w:val="ru-RU" w:eastAsia="en-US" w:bidi="ar-SA"/>
    </w:rPr>
  </w:style>
  <w:style w:type="paragraph" w:styleId="ZTopofForm">
    <w:name w:val="z-Top of Form"/>
    <w:qFormat/>
    <w:pPr>
      <w:widowControl/>
      <w:pBdr>
        <w:bottom w:val="double" w:sz="2" w:space="0" w:color="000000"/>
      </w:pBdr>
      <w:suppressAutoHyphens w:val="true"/>
      <w:bidi w:val="0"/>
      <w:spacing w:lineRule="auto" w:line="276" w:before="0" w:after="200"/>
      <w:jc w:val="center"/>
    </w:pPr>
    <w:rPr>
      <w:rFonts w:ascii="Arial" w:hAnsi="Arial" w:eastAsia="Arial" w:cs="Courier New"/>
      <w:vanish/>
      <w:color w:val="auto"/>
      <w:kern w:val="0"/>
      <w:sz w:val="16"/>
      <w:szCs w:val="24"/>
      <w:lang w:val="ru-RU" w:eastAsia="en-US" w:bidi="ar-SA"/>
    </w:rPr>
  </w:style>
  <w:style w:type="paragraph" w:styleId="Style28">
    <w:name w:val="Содержимое таблицы"/>
    <w:basedOn w:val="Normal"/>
    <w:qFormat/>
    <w:pPr>
      <w:suppressLineNumbers/>
    </w:pPr>
    <w:rPr/>
  </w:style>
  <w:style w:type="paragraph" w:styleId="Style29">
    <w:name w:val="Заголовок таблицы"/>
    <w:basedOn w:val="Style28"/>
    <w:qFormat/>
    <w:pPr>
      <w:suppressLineNumbers/>
      <w:jc w:val="center"/>
    </w:pPr>
    <w:rPr>
      <w:b/>
      <w:bCs/>
    </w:rPr>
  </w:style>
  <w:style w:type="paragraph" w:styleId="Style30">
    <w:name w:val="Содержимое таблицы по центру"/>
    <w:basedOn w:val="Style28"/>
    <w:qFormat/>
    <w:pPr>
      <w:suppressAutoHyphens w:val="false"/>
      <w:jc w:val="center"/>
    </w:pPr>
    <w:rPr>
      <w:rFonts w:ascii="Liberation Serif" w:hAnsi="Liberation Serif" w:eastAsia="NSimSun"/>
      <w:color w:val="00000A"/>
      <w:kern w:val="0"/>
      <w:lang w:eastAsia="zh-C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8">
    <w:name w:val="Table Grid"/>
    <w:basedOn w:val="a1"/>
    <w:uiPriority w:val="59"/>
    <w:rsid w:val="006566cf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consultantplus://offline/ref=9C31DDD6E3DF0C84BC9792FDC6569EB162B84D3676B7382450C78116D683C6CC651EA28A78F0B6B9BCAF7FB8ABCB1224C023DE3F82BF8CB9GFXAL" TargetMode="External"/><Relationship Id="rId3" Type="http://schemas.openxmlformats.org/officeDocument/2006/relationships/hyperlink" Target="consultantplus://offline/ref=9C31DDD6E3DF0C84BC9792FDC6569EB162B84D3676B7382450C78116D683C6CC651EA28A78F0B6B9BCAF7FB8ABCB1224C023DE3F82BF8CB9GFXAL" TargetMode="External"/><Relationship Id="rId4" Type="http://schemas.openxmlformats.org/officeDocument/2006/relationships/hyperlink" Target="consultantplus://offline/ref=9C31DDD6E3DF0C84BC9792FDC6569EB162B84D3676B7382450C78116D683C6CC651EA28A78F0B6B9BCAF7FB8ABCB1224C023DE3F82BF8CB9GFXAL" TargetMode="External"/><Relationship Id="rId5" Type="http://schemas.openxmlformats.org/officeDocument/2006/relationships/hyperlink" Target="consultantplus://offline/ref=9C31DDD6E3DF0C84BC9792FDC6569EB162B84D3676B7382450C78116D683C6CC651EA28A78F0B6B9BCAF7FB8ABCB1224C023DE3F82BF8CB9GFXAL" TargetMode="External"/><Relationship Id="rId6" Type="http://schemas.openxmlformats.org/officeDocument/2006/relationships/hyperlink" Target="consultantplus://offline/ref=9C31DDD6E3DF0C84BC9792FDC6569EB162B84D3676B7382450C78116D683C6CC651EA28A78F0B6B9BCAF7FB8ABCB1224C023DE3F82BF8CB9GFXAL" TargetMode="External"/><Relationship Id="rId7" Type="http://schemas.openxmlformats.org/officeDocument/2006/relationships/hyperlink" Target="consultantplus://offline/ref=9C31DDD6E3DF0C84BC9792FDC6569EB162B84D3676B7382450C78116D683C6CC651EA28A78F0B6B9BCAF7FB8ABCB1224C023DE3F82BF8CB9GFXAL" TargetMode="External"/><Relationship Id="rId8" Type="http://schemas.openxmlformats.org/officeDocument/2006/relationships/hyperlink" Target="consultantplus://offline/ref=9C31DDD6E3DF0C84BC9792FDC6569EB162B84D3676B7382450C78116D683C6CC651EA28A78F0B6B9BCAF7FB8ABCB1224C023DE3F82BF8CB9GFXAL" TargetMode="External"/><Relationship Id="rId9" Type="http://schemas.openxmlformats.org/officeDocument/2006/relationships/hyperlink" Target="consultantplus://offline/ref=9C31DDD6E3DF0C84BC9792FDC6569EB162B84D3676B7382450C78116D683C6CC651EA28A78F0B6B9BCAF7FB8ABCB1224C023DE3F82BF8CB9GFXAL" TargetMode="External"/><Relationship Id="rId10" Type="http://schemas.openxmlformats.org/officeDocument/2006/relationships/fontTable" Target="fontTable.xml"/><Relationship Id="rId11" Type="http://schemas.openxmlformats.org/officeDocument/2006/relationships/settings" Target="settings.xml"/><Relationship Id="rId12" Type="http://schemas.openxmlformats.org/officeDocument/2006/relationships/theme" Target="theme/theme1.xml"/><Relationship Id="rId13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77EA5B76-A295-4A9E-9271-2ED15E5C92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1447</TotalTime>
  <Application>LibreOffice/6.4.3.2$Windows_x86 LibreOffice_project/747b5d0ebf89f41c860ec2a39efd7cb15b54f2d8</Application>
  <Pages>2</Pages>
  <Words>354</Words>
  <Characters>2751</Characters>
  <CharactersWithSpaces>3148</CharactersWithSpaces>
  <Paragraphs>78</Paragraphs>
  <Company>Комитетпоуправлению имуществом Курской области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ZAK16</dc:creator>
  <dc:description/>
  <dc:language>ru-RU</dc:language>
  <cp:lastModifiedBy/>
  <dcterms:modified xsi:type="dcterms:W3CDTF">2020-10-12T17:21:16Z</dcterms:modified>
  <cp:revision>443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Комитетпоуправлению имуществом Курской области</vt:lpwstr>
  </property>
  <property fmtid="{D5CDD505-2E9C-101B-9397-08002B2CF9AE}" pid="4" name="DocSecurity">
    <vt:i4>0</vt:i4>
  </property>
  <property fmtid="{D5CDD505-2E9C-101B-9397-08002B2CF9AE}" pid="5" name="DocumentEncoding">
    <vt:lpwstr>utf-8</vt:lpwstr>
  </property>
  <property fmtid="{D5CDD505-2E9C-101B-9397-08002B2CF9AE}" pid="6" name="HTML">
    <vt:bool>1</vt:bool>
  </property>
  <property fmtid="{D5CDD505-2E9C-101B-9397-08002B2CF9AE}" pid="7" name="HyperlinksChanged">
    <vt:bool>0</vt:bool>
  </property>
  <property fmtid="{D5CDD505-2E9C-101B-9397-08002B2CF9AE}" pid="8" name="LinksUpToDate">
    <vt:bool>0</vt:bool>
  </property>
  <property fmtid="{D5CDD505-2E9C-101B-9397-08002B2CF9AE}" pid="9" name="ScaleCrop">
    <vt:bool>0</vt:bool>
  </property>
  <property fmtid="{D5CDD505-2E9C-101B-9397-08002B2CF9AE}" pid="10" name="ShareDoc">
    <vt:bool>0</vt:bool>
  </property>
</Properties>
</file>