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изделия - стимулятора психокогнитивного электромагнитного,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/>
          <w:bCs/>
          <w:sz w:val="20"/>
          <w:szCs w:val="20"/>
        </w:rPr>
        <w:t xml:space="preserve">№ </w:t>
      </w:r>
      <w:r>
        <w:rPr>
          <w:rFonts w:eastAsia="" w:cs="Times New Roman" w:eastAsiaTheme="minorEastAsia"/>
          <w:b/>
          <w:bCs/>
          <w:color w:val="00000A"/>
          <w:kern w:val="0"/>
          <w:sz w:val="20"/>
          <w:szCs w:val="20"/>
          <w:lang w:val="ru-RU" w:eastAsia="ru-RU" w:bidi="ar-SA"/>
        </w:rPr>
        <w:t>03.1-4/1358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>20119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13.10.2020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 - стимулятора психокогнитивного электромагнитного,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202463000551046320100105160012660244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436"/>
        <w:gridCol w:w="2087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"КАМЕД" / 3661042365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"КАМЕД", предложивший цену контракта 2 945 200,00 руб. (два миллиона девятьсот сорок пять тысяч двести рублей 00 копеек).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3</Pages>
  <Words>612</Words>
  <Characters>4654</Characters>
  <CharactersWithSpaces>5165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2020-10-13T11:24:16Z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