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Протокол№03.4-4/ </w:t>
      </w:r>
      <w:r>
        <w:rPr>
          <w:rFonts w:eastAsia="Times New Roman"/>
          <w:b/>
          <w:bCs/>
          <w:sz w:val="20"/>
          <w:szCs w:val="20"/>
        </w:rPr>
        <w:t>1256</w:t>
      </w:r>
      <w:r>
        <w:rPr>
          <w:rFonts w:eastAsia="Times New Roman"/>
          <w:b/>
          <w:bCs/>
          <w:sz w:val="20"/>
          <w:szCs w:val="20"/>
        </w:rPr>
        <w:t xml:space="preserve">    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мяса кур, в том числе цыплят (включая цыплят-бройлеров) замороженное.      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"ГРИДАСОВСКАЯ СРЕДНЯЯ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кур, в том числе цыплят (включая цыплят-бройлеров) замороженное.       10.12.20.110 Мясо кур, в том числе цыплят (включая цыплят-бройлеров) замороженное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203461600494846160100100100011012244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6 309,44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Ирина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Ирина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Конева Светлана Николавна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Ирина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Ирина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Конева Светлана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Ильякова Наталья Ивановна.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Журавлева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Конева Светлана Николавна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431</Words>
  <Characters>3208</Characters>
  <CharactersWithSpaces>3580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2020-10-16T14:17:40Z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