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png" ContentType="image/png"/>
  <Default Extension="jpeg" ContentType="image/jpeg"/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_rels/document.xml.rels" ContentType="application/vnd.openxmlformats-package.relationship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theme/theme1.xml" ContentType="application/vnd.openxmlformats-officedocument.theme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mc:Ignorable="w14 wp14">
  <w:body>
    <w:p>
      <w:pPr>
        <w:pStyle w:val="Normal"/>
        <w:ind w:firstLine="567"/>
        <w:jc w:val="center"/>
        <w:rPr>
          <w:sz w:val="20"/>
          <w:szCs w:val="20"/>
        </w:rPr>
      </w:pPr>
      <w:bookmarkStart w:id="0" w:name="_GoBack"/>
      <w:bookmarkEnd w:id="0"/>
      <w:r>
        <w:rPr>
          <w:rFonts w:eastAsia="Times New Roman"/>
          <w:b/>
          <w:bCs/>
          <w:sz w:val="20"/>
          <w:szCs w:val="20"/>
        </w:rPr>
        <w:t xml:space="preserve">Протокол </w:t>
      </w:r>
      <w:r>
        <w:rPr>
          <w:rFonts w:eastAsia="Times New Roman"/>
          <w:b/>
          <w:bCs/>
          <w:sz w:val="20"/>
          <w:szCs w:val="20"/>
        </w:rPr>
        <w:t>№ 03.1-4/1487</w:t>
      </w:r>
    </w:p>
    <w:p>
      <w:pPr>
        <w:pStyle w:val="Normal"/>
        <w:ind w:firstLine="567"/>
        <w:jc w:val="center"/>
        <w:rPr>
          <w:sz w:val="20"/>
          <w:szCs w:val="20"/>
        </w:rPr>
      </w:pPr>
      <w:r>
        <w:rPr>
          <w:rFonts w:eastAsia="Times New Roman"/>
          <w:b/>
          <w:bCs/>
          <w:sz w:val="20"/>
          <w:szCs w:val="20"/>
        </w:rPr>
        <w:t xml:space="preserve"> </w:t>
      </w:r>
      <w:r>
        <w:rPr>
          <w:rFonts w:eastAsia="Times New Roman"/>
          <w:b/>
          <w:bCs/>
          <w:sz w:val="20"/>
          <w:szCs w:val="20"/>
        </w:rPr>
        <w:t xml:space="preserve">подведения итогов электронного аукциона </w:t>
      </w:r>
      <w:r>
        <w:rPr>
          <w:rFonts w:eastAsia="Times New Roman"/>
          <w:b/>
          <w:bCs/>
          <w:color w:val="000000"/>
          <w:sz w:val="20"/>
          <w:szCs w:val="20"/>
        </w:rPr>
        <w:t>на право заключения контракта</w:t>
      </w:r>
    </w:p>
    <w:p>
      <w:pPr>
        <w:pStyle w:val="Normal"/>
        <w:jc w:val="center"/>
        <w:rPr/>
      </w:pPr>
      <w:r>
        <w:rPr>
          <w:b/>
          <w:bCs/>
          <w:color w:val="000000"/>
          <w:sz w:val="20"/>
          <w:szCs w:val="20"/>
        </w:rPr>
        <w:t xml:space="preserve">с </w:t>
      </w:r>
      <w:r>
        <w:rPr>
          <w:b/>
          <w:sz w:val="20"/>
          <w:szCs w:val="20"/>
        </w:rPr>
        <w:t>Областн</w:t>
      </w:r>
      <w:r>
        <w:rPr>
          <w:rFonts w:eastAsia="Times New Roman"/>
          <w:b/>
          <w:color w:val="auto"/>
          <w:sz w:val="20"/>
          <w:szCs w:val="20"/>
        </w:rPr>
        <w:t>ым</w:t>
      </w:r>
      <w:r>
        <w:rPr>
          <w:b/>
          <w:sz w:val="20"/>
          <w:szCs w:val="20"/>
        </w:rPr>
        <w:t xml:space="preserve"> бюджетн</w:t>
      </w:r>
      <w:r>
        <w:rPr>
          <w:rFonts w:eastAsia="Times New Roman"/>
          <w:b/>
          <w:color w:val="auto"/>
          <w:sz w:val="20"/>
          <w:szCs w:val="20"/>
        </w:rPr>
        <w:t xml:space="preserve">ым </w:t>
      </w:r>
      <w:r>
        <w:rPr>
          <w:b/>
          <w:sz w:val="20"/>
          <w:szCs w:val="20"/>
        </w:rPr>
        <w:t xml:space="preserve">учреждением здравоохранения «Курский городской клинический родильный дом» </w:t>
      </w:r>
      <w:r>
        <w:rPr>
          <w:rStyle w:val="Style17"/>
          <w:b/>
          <w:i w:val="false"/>
          <w:iCs w:val="false"/>
          <w:color w:val="000000"/>
          <w:sz w:val="20"/>
          <w:szCs w:val="20"/>
        </w:rPr>
        <w:t xml:space="preserve">на поставку </w:t>
      </w:r>
      <w:r>
        <w:rPr>
          <w:b/>
          <w:bCs/>
          <w:color w:val="000000"/>
          <w:sz w:val="20"/>
          <w:szCs w:val="20"/>
        </w:rPr>
        <w:t>изделий медицинского назначения</w:t>
      </w:r>
    </w:p>
    <w:p>
      <w:pPr>
        <w:pStyle w:val="Normal"/>
        <w:ind w:firstLine="567"/>
        <w:jc w:val="center"/>
        <w:rPr>
          <w:sz w:val="20"/>
          <w:szCs w:val="20"/>
        </w:rPr>
      </w:pPr>
      <w:r>
        <w:rPr>
          <w:sz w:val="20"/>
          <w:szCs w:val="20"/>
        </w:rPr>
      </w:r>
    </w:p>
    <w:p>
      <w:pPr>
        <w:pStyle w:val="Normal"/>
        <w:ind w:firstLine="567"/>
        <w:jc w:val="center"/>
        <w:rPr>
          <w:sz w:val="20"/>
          <w:szCs w:val="20"/>
        </w:rPr>
      </w:pPr>
      <w:r>
        <w:rPr>
          <w:rFonts w:eastAsia="Times New Roman"/>
          <w:b/>
          <w:bCs/>
          <w:sz w:val="20"/>
          <w:szCs w:val="20"/>
        </w:rPr>
        <w:t xml:space="preserve">(№ извещения 0744200000220002406) </w:t>
      </w:r>
    </w:p>
    <w:p>
      <w:pPr>
        <w:pStyle w:val="Normal"/>
        <w:ind w:firstLine="567"/>
        <w:jc w:val="center"/>
        <w:rPr>
          <w:rFonts w:eastAsia="Times New Roman"/>
          <w:b/>
          <w:b/>
          <w:bCs/>
          <w:lang w:val="en-US"/>
        </w:rPr>
      </w:pPr>
      <w:r>
        <w:rPr>
          <w:sz w:val="20"/>
          <w:szCs w:val="20"/>
        </w:rPr>
      </w:r>
    </w:p>
    <w:p>
      <w:pPr>
        <w:pStyle w:val="Normal"/>
        <w:ind w:firstLine="567"/>
        <w:jc w:val="center"/>
        <w:rPr>
          <w:sz w:val="20"/>
          <w:szCs w:val="20"/>
          <w:lang w:val="en-US"/>
        </w:rPr>
      </w:pPr>
      <w:r>
        <w:rPr>
          <w:sz w:val="20"/>
          <w:szCs w:val="20"/>
          <w:lang w:val="en-US"/>
        </w:rPr>
      </w:r>
    </w:p>
    <w:p>
      <w:pPr>
        <w:pStyle w:val="Normal"/>
        <w:ind w:firstLine="567"/>
        <w:jc w:val="right"/>
        <w:rPr>
          <w:lang w:val="en-US"/>
        </w:rPr>
      </w:pPr>
      <w:r>
        <w:rPr>
          <w:rFonts w:eastAsia="Times New Roman"/>
          <w:sz w:val="20"/>
          <w:szCs w:val="20"/>
          <w:lang w:val="en-US"/>
        </w:rPr>
        <w:t>22.10.20 12:31:46 (MSK+00:00)</w:t>
      </w:r>
    </w:p>
    <w:p>
      <w:pPr>
        <w:pStyle w:val="Normal"/>
        <w:ind w:firstLine="567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en-US"/>
        </w:rPr>
      </w:r>
    </w:p>
    <w:p>
      <w:pPr>
        <w:pStyle w:val="Normal"/>
        <w:rPr>
          <w:lang w:val="en-US"/>
        </w:rPr>
      </w:pPr>
      <w:r>
        <w:rPr>
          <w:rFonts w:eastAsia="Times New Roman"/>
          <w:sz w:val="20"/>
          <w:szCs w:val="20"/>
        </w:rPr>
        <w:t>Место</w:t>
      </w:r>
      <w:r>
        <w:rPr>
          <w:rFonts w:eastAsia="Times New Roman"/>
          <w:sz w:val="20"/>
          <w:szCs w:val="20"/>
          <w:lang w:val="en-US"/>
        </w:rPr>
        <w:t xml:space="preserve"> </w:t>
      </w:r>
      <w:r>
        <w:rPr>
          <w:rFonts w:eastAsia="Times New Roman"/>
          <w:sz w:val="20"/>
          <w:szCs w:val="20"/>
        </w:rPr>
        <w:t>публикации</w:t>
      </w:r>
      <w:r>
        <w:rPr>
          <w:rFonts w:eastAsia="Times New Roman"/>
          <w:sz w:val="20"/>
          <w:szCs w:val="20"/>
          <w:lang w:val="en-US"/>
        </w:rPr>
        <w:t>: Российская Федерация, 305029, Курская обл, Курск г, Красный Октябрь, д.21, ОФИС 3</w:t>
      </w:r>
    </w:p>
    <w:p>
      <w:pPr>
        <w:pStyle w:val="Normal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en-US"/>
        </w:rPr>
      </w:r>
    </w:p>
    <w:p>
      <w:pPr>
        <w:pStyle w:val="Normal"/>
        <w:rPr>
          <w:lang w:val="en-US"/>
        </w:rPr>
      </w:pPr>
      <w:r>
        <w:rPr>
          <w:rFonts w:eastAsia="Times New Roman"/>
          <w:sz w:val="20"/>
          <w:szCs w:val="20"/>
        </w:rPr>
        <w:t>Организатор</w:t>
      </w:r>
      <w:r>
        <w:rPr>
          <w:rFonts w:eastAsia="Times New Roman"/>
          <w:sz w:val="20"/>
          <w:szCs w:val="20"/>
          <w:lang w:val="en-US"/>
        </w:rPr>
        <w:t xml:space="preserve"> </w:t>
      </w:r>
      <w:r>
        <w:rPr>
          <w:rFonts w:eastAsia="Times New Roman"/>
          <w:sz w:val="20"/>
          <w:szCs w:val="20"/>
        </w:rPr>
        <w:t>аукциона</w:t>
      </w:r>
      <w:r>
        <w:rPr>
          <w:rFonts w:eastAsia="Times New Roman"/>
          <w:sz w:val="20"/>
          <w:szCs w:val="20"/>
          <w:lang w:val="en-US"/>
        </w:rPr>
        <w:t>: ОБЛАСТНОЕ КАЗЕННОЕ УЧРЕЖДЕНИЕ "ЦЕНТР ЗАКУПОК КУРСКОЙ ОБЛАСТИ"</w:t>
      </w:r>
    </w:p>
    <w:p>
      <w:pPr>
        <w:pStyle w:val="Normal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en-US"/>
        </w:rPr>
      </w:r>
    </w:p>
    <w:p>
      <w:pPr>
        <w:pStyle w:val="Normal"/>
        <w:rPr>
          <w:lang w:val="en-US"/>
        </w:rPr>
      </w:pPr>
      <w:r>
        <w:rPr>
          <w:rFonts w:eastAsia="Times New Roman"/>
          <w:sz w:val="20"/>
          <w:szCs w:val="20"/>
          <w:lang w:val="en-US"/>
        </w:rPr>
        <w:t>Заказчик: ОБЛАСТНОЕ БЮДЖЕТНОЕ УЧРЕЖДЕНИЕ ЗДРАВООХРАНЕНИЯ "КУРСКИЙ ГОРОДСКОЙ КЛИНИЧЕСКИЙ РОДИЛЬНЫЙ ДОМ"</w:t>
      </w:r>
    </w:p>
    <w:p>
      <w:pPr>
        <w:pStyle w:val="Normal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en-US"/>
        </w:rPr>
      </w:r>
    </w:p>
    <w:p>
      <w:pPr>
        <w:pStyle w:val="Normal"/>
        <w:rPr>
          <w:sz w:val="20"/>
          <w:szCs w:val="20"/>
          <w:lang w:val="en-US"/>
        </w:rPr>
      </w:pPr>
      <w:r>
        <w:rPr>
          <w:rFonts w:eastAsia="Times New Roman"/>
          <w:sz w:val="20"/>
          <w:szCs w:val="20"/>
        </w:rPr>
        <w:t>Наименование</w:t>
      </w:r>
      <w:r>
        <w:rPr>
          <w:rFonts w:eastAsia="Times New Roman"/>
          <w:sz w:val="20"/>
          <w:szCs w:val="20"/>
          <w:lang w:val="en-US"/>
        </w:rPr>
        <w:t xml:space="preserve"> </w:t>
      </w:r>
      <w:r>
        <w:rPr>
          <w:rFonts w:eastAsia="Times New Roman"/>
          <w:sz w:val="20"/>
          <w:szCs w:val="20"/>
        </w:rPr>
        <w:t>закупки</w:t>
      </w:r>
      <w:r>
        <w:rPr>
          <w:rFonts w:eastAsia="Times New Roman"/>
          <w:sz w:val="20"/>
          <w:szCs w:val="20"/>
          <w:lang w:val="en-US"/>
        </w:rPr>
        <w:t xml:space="preserve">: Поставка изделий медицинского назначения </w:t>
      </w:r>
    </w:p>
    <w:p>
      <w:pPr>
        <w:pStyle w:val="Normal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en-US"/>
        </w:rPr>
      </w:r>
    </w:p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  <w:t>Идентификационный код закупки: 202463200689346320100101920020000244</w:t>
      </w:r>
    </w:p>
    <w:p>
      <w:pPr>
        <w:pStyle w:val="Normal"/>
        <w:rPr/>
      </w:pPr>
      <w:r>
        <w:rPr/>
      </w:r>
    </w:p>
    <w:p>
      <w:pPr>
        <w:pStyle w:val="Normal"/>
        <w:rPr/>
      </w:pPr>
      <w:r>
        <w:rPr>
          <w:rFonts w:eastAsia="Times New Roman"/>
          <w:sz w:val="20"/>
          <w:szCs w:val="20"/>
        </w:rPr>
        <w:t>Начальная (максимальная) цена контракта/Максимальное значение цены контракта: 66 920,00 руб.</w:t>
      </w:r>
    </w:p>
    <w:p>
      <w:pPr>
        <w:pStyle w:val="Normal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en-US"/>
        </w:rPr>
      </w:r>
    </w:p>
    <w:p>
      <w:pPr>
        <w:pStyle w:val="Normal"/>
        <w:rPr>
          <w:lang w:val="en-US"/>
        </w:rPr>
      </w:pPr>
      <w:r>
        <w:rPr>
          <w:rFonts w:eastAsia="Times New Roman"/>
          <w:sz w:val="20"/>
          <w:szCs w:val="20"/>
        </w:rPr>
        <w:t>Снижение</w:t>
      </w:r>
      <w:r>
        <w:rPr>
          <w:rFonts w:eastAsia="Times New Roman"/>
          <w:sz w:val="20"/>
          <w:szCs w:val="20"/>
          <w:lang w:val="en-US"/>
        </w:rPr>
        <w:t xml:space="preserve"> </w:t>
      </w:r>
      <w:r>
        <w:rPr>
          <w:rFonts w:eastAsia="Times New Roman"/>
          <w:sz w:val="20"/>
          <w:szCs w:val="20"/>
        </w:rPr>
        <w:t>НМЦК</w:t>
      </w:r>
      <w:r>
        <w:rPr>
          <w:rFonts w:eastAsia="Times New Roman"/>
          <w:sz w:val="20"/>
          <w:szCs w:val="20"/>
          <w:lang w:val="en-US"/>
        </w:rPr>
        <w:t>, %: 28.50</w:t>
      </w:r>
    </w:p>
    <w:p>
      <w:pPr>
        <w:pStyle w:val="Normal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en-US"/>
        </w:rPr>
      </w:r>
    </w:p>
    <w:p>
      <w:pPr>
        <w:pStyle w:val="Normal"/>
        <w:rPr>
          <w:sz w:val="20"/>
          <w:szCs w:val="20"/>
        </w:rPr>
      </w:pPr>
      <w:r>
        <w:rPr>
          <w:rFonts w:eastAsia="Times New Roman"/>
          <w:sz w:val="20"/>
          <w:szCs w:val="20"/>
        </w:rPr>
        <w:t>Состав аукционной комиссии:</w:t>
      </w:r>
    </w:p>
    <w:tbl>
      <w:tblPr>
        <w:tblW w:w="5000" w:type="pct"/>
        <w:jc w:val="left"/>
        <w:tblInd w:w="-14" w:type="dxa"/>
        <w:tblCellMar>
          <w:top w:w="15" w:type="dxa"/>
          <w:left w:w="15" w:type="dxa"/>
          <w:bottom w:w="15" w:type="dxa"/>
          <w:right w:w="15" w:type="dxa"/>
        </w:tblCellMar>
        <w:tblLook w:firstRow="1" w:noVBand="1" w:lastRow="0" w:firstColumn="1" w:lastColumn="0" w:noHBand="0" w:val="04a0"/>
      </w:tblPr>
      <w:tblGrid>
        <w:gridCol w:w="4960"/>
        <w:gridCol w:w="4961"/>
      </w:tblGrid>
      <w:tr>
        <w:trPr/>
        <w:tc>
          <w:tcPr>
            <w:tcW w:w="4960" w:type="dxa"/>
            <w:tcBorders/>
            <w:shd w:color="auto" w:fill="auto" w:val="clear"/>
          </w:tcPr>
          <w:p>
            <w:pPr>
              <w:pStyle w:val="Normal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Председатель комиссии</w:t>
            </w:r>
          </w:p>
        </w:tc>
        <w:tc>
          <w:tcPr>
            <w:tcW w:w="4961" w:type="dxa"/>
            <w:tcBorders/>
            <w:shd w:color="auto" w:fill="auto" w:val="clear"/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Полторацкий Алексей Николаевич</w:t>
            </w:r>
          </w:p>
        </w:tc>
      </w:tr>
      <w:tr>
        <w:trPr/>
        <w:tc>
          <w:tcPr>
            <w:tcW w:w="4960" w:type="dxa"/>
            <w:tcBorders/>
            <w:shd w:color="auto" w:fill="auto" w:val="clear"/>
          </w:tcPr>
          <w:p>
            <w:pPr>
              <w:pStyle w:val="Normal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Зам. председателя комиссии</w:t>
            </w:r>
          </w:p>
        </w:tc>
        <w:tc>
          <w:tcPr>
            <w:tcW w:w="4961" w:type="dxa"/>
            <w:tcBorders/>
            <w:shd w:color="auto" w:fill="auto" w:val="clear"/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Меркель Светлана Леоновна</w:t>
            </w:r>
          </w:p>
        </w:tc>
      </w:tr>
      <w:tr>
        <w:trPr/>
        <w:tc>
          <w:tcPr>
            <w:tcW w:w="4960" w:type="dxa"/>
            <w:tcBorders/>
            <w:shd w:color="auto" w:fill="auto" w:val="clear"/>
          </w:tcPr>
          <w:p>
            <w:pPr>
              <w:pStyle w:val="Normal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4961" w:type="dxa"/>
            <w:tcBorders/>
            <w:shd w:color="auto" w:fill="auto" w:val="clear"/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Жданова Елена Николаевна</w:t>
            </w:r>
          </w:p>
        </w:tc>
      </w:tr>
      <w:tr>
        <w:trPr/>
        <w:tc>
          <w:tcPr>
            <w:tcW w:w="4960" w:type="dxa"/>
            <w:tcBorders/>
            <w:shd w:color="auto" w:fill="auto" w:val="clear"/>
          </w:tcPr>
          <w:p>
            <w:pPr>
              <w:pStyle w:val="Normal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4961" w:type="dxa"/>
            <w:tcBorders/>
            <w:shd w:color="auto" w:fill="auto" w:val="clear"/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Монастырева Марина Николаевна</w:t>
            </w:r>
          </w:p>
        </w:tc>
      </w:tr>
      <w:tr>
        <w:trPr/>
        <w:tc>
          <w:tcPr>
            <w:tcW w:w="4960" w:type="dxa"/>
            <w:tcBorders/>
            <w:shd w:color="auto" w:fill="auto" w:val="clear"/>
          </w:tcPr>
          <w:p>
            <w:pPr>
              <w:pStyle w:val="Normal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Секретарь комиссии</w:t>
            </w:r>
          </w:p>
        </w:tc>
        <w:tc>
          <w:tcPr>
            <w:tcW w:w="4961" w:type="dxa"/>
            <w:tcBorders/>
            <w:shd w:color="auto" w:fill="auto" w:val="clear"/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Суслова Ольга Геннадьевна</w:t>
            </w:r>
          </w:p>
        </w:tc>
      </w:tr>
    </w:tbl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p>
      <w:pPr>
        <w:pStyle w:val="Normal"/>
        <w:rPr>
          <w:sz w:val="20"/>
          <w:szCs w:val="20"/>
        </w:rPr>
      </w:pPr>
      <w:r>
        <w:rPr>
          <w:rFonts w:eastAsia="Times New Roman"/>
          <w:sz w:val="20"/>
          <w:szCs w:val="20"/>
        </w:rPr>
        <w:t>На заседании аукционной комиссии присутствуют:</w:t>
      </w:r>
    </w:p>
    <w:tbl>
      <w:tblPr>
        <w:tblW w:w="5000" w:type="pct"/>
        <w:jc w:val="left"/>
        <w:tblInd w:w="-14" w:type="dxa"/>
        <w:tblCellMar>
          <w:top w:w="15" w:type="dxa"/>
          <w:left w:w="15" w:type="dxa"/>
          <w:bottom w:w="15" w:type="dxa"/>
          <w:right w:w="15" w:type="dxa"/>
        </w:tblCellMar>
        <w:tblLook w:firstRow="1" w:noVBand="1" w:lastRow="0" w:firstColumn="1" w:lastColumn="0" w:noHBand="0" w:val="04a0"/>
      </w:tblPr>
      <w:tblGrid>
        <w:gridCol w:w="4960"/>
        <w:gridCol w:w="4961"/>
      </w:tblGrid>
      <w:tr>
        <w:trPr/>
        <w:tc>
          <w:tcPr>
            <w:tcW w:w="4960" w:type="dxa"/>
            <w:tcBorders/>
            <w:shd w:color="auto" w:fill="auto" w:val="clear"/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Председатель комиссии</w:t>
            </w:r>
          </w:p>
        </w:tc>
        <w:tc>
          <w:tcPr>
            <w:tcW w:w="4961" w:type="dxa"/>
            <w:tcBorders/>
            <w:shd w:color="auto" w:fill="auto" w:val="clear"/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Полторацкий Алексей Николаевич</w:t>
            </w:r>
          </w:p>
        </w:tc>
      </w:tr>
      <w:tr>
        <w:trPr/>
        <w:tc>
          <w:tcPr>
            <w:tcW w:w="4960" w:type="dxa"/>
            <w:tcBorders/>
            <w:shd w:color="auto" w:fill="auto" w:val="clear"/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Зам. председателя комиссии</w:t>
            </w:r>
          </w:p>
        </w:tc>
        <w:tc>
          <w:tcPr>
            <w:tcW w:w="4961" w:type="dxa"/>
            <w:tcBorders/>
            <w:shd w:color="auto" w:fill="auto" w:val="clear"/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Меркель Светлана Леоновна</w:t>
            </w:r>
          </w:p>
        </w:tc>
      </w:tr>
      <w:tr>
        <w:trPr/>
        <w:tc>
          <w:tcPr>
            <w:tcW w:w="4960" w:type="dxa"/>
            <w:tcBorders/>
            <w:shd w:color="auto" w:fill="auto" w:val="clear"/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4961" w:type="dxa"/>
            <w:tcBorders/>
            <w:shd w:color="auto" w:fill="auto" w:val="clear"/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Жданова Елена Николаевна</w:t>
            </w:r>
          </w:p>
        </w:tc>
      </w:tr>
      <w:tr>
        <w:trPr/>
        <w:tc>
          <w:tcPr>
            <w:tcW w:w="4960" w:type="dxa"/>
            <w:tcBorders/>
            <w:shd w:color="auto" w:fill="auto" w:val="clear"/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4961" w:type="dxa"/>
            <w:tcBorders/>
            <w:shd w:color="auto" w:fill="auto" w:val="clear"/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Монастырева Марина Николаевна</w:t>
            </w:r>
          </w:p>
        </w:tc>
      </w:tr>
      <w:tr>
        <w:trPr/>
        <w:tc>
          <w:tcPr>
            <w:tcW w:w="4960" w:type="dxa"/>
            <w:tcBorders/>
            <w:shd w:color="auto" w:fill="auto" w:val="clear"/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Секретарь комиссии</w:t>
            </w:r>
          </w:p>
        </w:tc>
        <w:tc>
          <w:tcPr>
            <w:tcW w:w="4961" w:type="dxa"/>
            <w:tcBorders/>
            <w:shd w:color="auto" w:fill="auto" w:val="clear"/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Суслова Ольга Геннадьевна</w:t>
            </w:r>
          </w:p>
        </w:tc>
      </w:tr>
    </w:tbl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p>
      <w:pPr>
        <w:pStyle w:val="Normal"/>
        <w:jc w:val="both"/>
        <w:rPr/>
      </w:pPr>
      <w:r>
        <w:rPr>
          <w:rFonts w:eastAsia="Times New Roman"/>
          <w:sz w:val="20"/>
          <w:szCs w:val="20"/>
        </w:rPr>
        <w:t>Заседание комиссии правомочно, кворум имеется.</w:t>
      </w:r>
    </w:p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p>
      <w:pPr>
        <w:pStyle w:val="Normal"/>
        <w:rPr>
          <w:sz w:val="20"/>
          <w:szCs w:val="20"/>
        </w:rPr>
      </w:pPr>
      <w:r>
        <w:rPr>
          <w:rFonts w:eastAsia="Times New Roman"/>
          <w:sz w:val="20"/>
          <w:szCs w:val="20"/>
        </w:rPr>
        <w:t>Аукционной комиссией рассмотрены вторые части заявок на участие в аукционе, поданных его участниками, а также информация и электронные документы этих участников, предусмотренные частью 11 статьи 24.1 Федерального закона №44-ФЗ.</w:t>
      </w:r>
    </w:p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tbl>
      <w:tblPr>
        <w:tblW w:w="9977" w:type="dxa"/>
        <w:jc w:val="left"/>
        <w:tblInd w:w="0" w:type="dxa"/>
        <w:tblCellMar>
          <w:top w:w="55" w:type="dxa"/>
          <w:left w:w="55" w:type="dxa"/>
          <w:bottom w:w="55" w:type="dxa"/>
          <w:right w:w="55" w:type="dxa"/>
        </w:tblCellMar>
        <w:tblLook w:firstRow="1" w:noVBand="1" w:lastRow="0" w:firstColumn="1" w:lastColumn="0" w:noHBand="0" w:val="04a0"/>
      </w:tblPr>
      <w:tblGrid>
        <w:gridCol w:w="1363"/>
        <w:gridCol w:w="2212"/>
        <w:gridCol w:w="1475"/>
        <w:gridCol w:w="1300"/>
        <w:gridCol w:w="3627"/>
      </w:tblGrid>
      <w:tr>
        <w:trPr>
          <w:trHeight w:val="285" w:hRule="atLeast"/>
        </w:trPr>
        <w:tc>
          <w:tcPr>
            <w:tcW w:w="9977" w:type="dxa"/>
            <w:gridSpan w:val="5"/>
            <w:tcBorders/>
            <w:shd w:color="auto" w:fill="auto" w:val="clear"/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Сведения о решении аукционной комиссии:</w:t>
            </w:r>
          </w:p>
        </w:tc>
      </w:tr>
      <w:tr>
        <w:trPr/>
        <w:tc>
          <w:tcPr>
            <w:tcW w:w="1363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Идентификационный номер</w:t>
            </w:r>
          </w:p>
        </w:tc>
        <w:tc>
          <w:tcPr>
            <w:tcW w:w="221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Normal"/>
              <w:rPr>
                <w:rFonts w:eastAsia="Times New Roman"/>
              </w:rPr>
            </w:pPr>
            <w:r>
              <w:rPr>
                <w:rFonts w:eastAsia="Times New Roman"/>
                <w:sz w:val="20"/>
                <w:szCs w:val="20"/>
              </w:rPr>
              <w:t>Наименование / ИНН участника аукциона</w:t>
            </w:r>
          </w:p>
        </w:tc>
        <w:tc>
          <w:tcPr>
            <w:tcW w:w="147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Normal"/>
              <w:rPr>
                <w:rFonts w:eastAsia="Times New Roman"/>
              </w:rPr>
            </w:pPr>
            <w:bookmarkStart w:id="1" w:name="__DdeLink__148_3082067383"/>
            <w:bookmarkEnd w:id="1"/>
            <w:r>
              <w:rPr>
                <w:rFonts w:eastAsia="Times New Roman"/>
                <w:sz w:val="20"/>
                <w:szCs w:val="20"/>
              </w:rPr>
              <w:t>Минимальное предложение о цене контракта, сделанное участником аукциона</w:t>
            </w:r>
          </w:p>
        </w:tc>
        <w:tc>
          <w:tcPr>
            <w:tcW w:w="130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 xml:space="preserve">Решение </w:t>
            </w:r>
          </w:p>
        </w:tc>
        <w:tc>
          <w:tcPr>
            <w:tcW w:w="362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Обоснование</w:t>
            </w:r>
          </w:p>
        </w:tc>
      </w:tr>
      <w:tr>
        <w:trPr/>
        <w:tc>
          <w:tcPr>
            <w:tcW w:w="1363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4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EA-60173</w:t>
            </w:r>
          </w:p>
        </w:tc>
        <w:tc>
          <w:tcPr>
            <w:tcW w:w="221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Normal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"САНА" / 5754004670</w:t>
            </w:r>
          </w:p>
        </w:tc>
        <w:tc>
          <w:tcPr>
            <w:tcW w:w="147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4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47 847,80 руб.</w:t>
            </w:r>
          </w:p>
        </w:tc>
        <w:tc>
          <w:tcPr>
            <w:tcW w:w="130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4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Не соответствует</w:t>
            </w:r>
          </w:p>
        </w:tc>
        <w:tc>
          <w:tcPr>
            <w:tcW w:w="362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4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на основании нормативных правовых актов, принятых в соответствии со статьей 14 Федерального закона №44-ФЗ</w:t>
              <w:br/>
              <w:br/>
              <w:t>В соответствии с пунктом 3 части 6 статьи 69 Федерального закона от 05.04.2013 № 44-ФЗ «О контрактной системе в сфере закупок товаров, работ, услуг для обеспечения государственных и муниципальных нужд» признается не соответствующей требованиям, установленным частями 37, 38 аукционной документации, по основанию, предусмотренному нормативным правовым актом, принятым в соответствии со статьей 14 Федерального закона, а именно: постановлением Правительства Российской Федерации от 05.02.2015 N 102 «Об ограничениях и условиях допуска отдельных видов медицинских изделий, происходящих из иностранных государств, для целей осуществления закупок для обеспечения государственных и муниципальных нужд», в связи с тем, что указанная заявка, содержит предложения о поставке медицинских изделий, происходящих из иностранных государств (за исключением государств - членов Евразийского экономического союза), в том числе о поставке 2 и более медицинских изделий, страной происхождения хотя бы одного из которых является – член Евразийского экономического союза, при этом на участие в определении поставщика подано не менее 2 заявок (окончательных предложений), удовлетворяющих требованиям извещения об осуществлении закупки и (или) документации о закупке, которые одновременно: б) для заявок (окончательных предложений), содержащих предложения о поставке медицинских изделий одноразового применения (использования) из поливинилхлоридных пластиков, включенных в перечень N 2: -содержат предложения о поставке указанных медицинских изделий, страной происхождения которых являются только государства - члены Евразийского экономического союза; -не содержат предложений о поставке одного и того же вида медицинского изделия одного производителя либо производителей, входящих в одну группу лиц, соответствующую признакам, предусмотренным статьей 9 Федерального закона "О защите конкуренции", при сопоставлении этих заявок (окончательных предложений); -содержат предложения о поставке указанных медицинских изделий, процентная доля стоимости использованных материалов (сырья) иностранного происхождения в цене конечной продукции которых соответствует указанной в приложении к постановлению Правительства Российской Федерации от 14 августа 2017 г. N 967 "Об особенностях осуществления закупки медицинских изделий одноразового применения (использования) из поливинилхлоридных пластиков для обеспечения государственных и муниципальных нужд"; -содержат предложения о поставке указанных медицинских изделий, на производство которых имеется документ, подтверждающий соответствие собственного производства требованиям ГОСТ ISO 13485-2017 "Межгосударственный стандарт. Изделия медицинские. Системы менеджмента качества. Требования для целей регулирования".</w:t>
            </w:r>
          </w:p>
        </w:tc>
      </w:tr>
      <w:tr>
        <w:trPr/>
        <w:tc>
          <w:tcPr>
            <w:tcW w:w="1363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4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EA-60353</w:t>
            </w:r>
          </w:p>
        </w:tc>
        <w:tc>
          <w:tcPr>
            <w:tcW w:w="221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Normal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ТОРГОВЫЙ ДОМ "МЕДПОЛИМЕРПРОМ" / 7703640102</w:t>
            </w:r>
          </w:p>
        </w:tc>
        <w:tc>
          <w:tcPr>
            <w:tcW w:w="147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4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48 182,40 руб.</w:t>
            </w:r>
          </w:p>
        </w:tc>
        <w:tc>
          <w:tcPr>
            <w:tcW w:w="130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4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  <w:tc>
          <w:tcPr>
            <w:tcW w:w="362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4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-</w:t>
            </w:r>
          </w:p>
        </w:tc>
      </w:tr>
      <w:tr>
        <w:trPr/>
        <w:tc>
          <w:tcPr>
            <w:tcW w:w="1363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4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EA-60141</w:t>
            </w:r>
          </w:p>
        </w:tc>
        <w:tc>
          <w:tcPr>
            <w:tcW w:w="221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Normal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"ПРАЙМ" / 7728388529</w:t>
            </w:r>
          </w:p>
        </w:tc>
        <w:tc>
          <w:tcPr>
            <w:tcW w:w="147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4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66 000,00 руб.</w:t>
            </w:r>
          </w:p>
        </w:tc>
        <w:tc>
          <w:tcPr>
            <w:tcW w:w="130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4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  <w:tc>
          <w:tcPr>
            <w:tcW w:w="362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4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-</w:t>
            </w:r>
          </w:p>
        </w:tc>
      </w:tr>
      <w:tr>
        <w:trPr/>
        <w:tc>
          <w:tcPr>
            <w:tcW w:w="1363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4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EA-60157</w:t>
            </w:r>
          </w:p>
        </w:tc>
        <w:tc>
          <w:tcPr>
            <w:tcW w:w="221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Normal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МАЛОВА ИРИНА АЛЕКСАНДРОВНА / 525203819295</w:t>
            </w:r>
          </w:p>
        </w:tc>
        <w:tc>
          <w:tcPr>
            <w:tcW w:w="147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4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66 800,00 руб.</w:t>
            </w:r>
          </w:p>
        </w:tc>
        <w:tc>
          <w:tcPr>
            <w:tcW w:w="130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4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  <w:tc>
          <w:tcPr>
            <w:tcW w:w="362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4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-</w:t>
            </w:r>
          </w:p>
        </w:tc>
      </w:tr>
    </w:tbl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tbl>
      <w:tblPr>
        <w:tblW w:w="9977" w:type="dxa"/>
        <w:jc w:val="left"/>
        <w:tblInd w:w="0" w:type="dxa"/>
        <w:tblCellMar>
          <w:top w:w="55" w:type="dxa"/>
          <w:left w:w="55" w:type="dxa"/>
          <w:bottom w:w="55" w:type="dxa"/>
          <w:right w:w="55" w:type="dxa"/>
        </w:tblCellMar>
        <w:tblLook w:firstRow="1" w:noVBand="1" w:lastRow="0" w:firstColumn="1" w:lastColumn="0" w:noHBand="0" w:val="04a0"/>
      </w:tblPr>
      <w:tblGrid>
        <w:gridCol w:w="2831"/>
        <w:gridCol w:w="1687"/>
        <w:gridCol w:w="1809"/>
        <w:gridCol w:w="1909"/>
        <w:gridCol w:w="1741"/>
      </w:tblGrid>
      <w:tr>
        <w:trPr/>
        <w:tc>
          <w:tcPr>
            <w:tcW w:w="9977" w:type="dxa"/>
            <w:gridSpan w:val="5"/>
            <w:tcBorders/>
            <w:shd w:color="auto" w:fill="auto" w:val="clear"/>
          </w:tcPr>
          <w:p>
            <w:pPr>
              <w:pStyle w:val="Normal"/>
              <w:ind w:left="-45" w:hanging="0"/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Сведения о решении членов аукционной комиссии:</w:t>
            </w:r>
          </w:p>
        </w:tc>
      </w:tr>
      <w:tr>
        <w:trPr/>
        <w:tc>
          <w:tcPr>
            <w:tcW w:w="283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Normal"/>
              <w:ind w:right="-157" w:hanging="0"/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Идентификационный номер</w:t>
            </w:r>
          </w:p>
        </w:tc>
        <w:tc>
          <w:tcPr>
            <w:tcW w:w="168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Normal"/>
              <w:ind w:right="-157" w:hanging="0"/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Наименование / ИНН участника аукциона</w:t>
            </w:r>
          </w:p>
        </w:tc>
        <w:tc>
          <w:tcPr>
            <w:tcW w:w="18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Normal"/>
              <w:ind w:right="-157" w:hanging="0"/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Минимальное предложение о цене контракта, сделанное участником аукциона</w:t>
            </w:r>
          </w:p>
        </w:tc>
        <w:tc>
          <w:tcPr>
            <w:tcW w:w="19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Normal"/>
              <w:ind w:right="-157" w:hanging="0"/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Ф.И.О. члена аукционной комиссии</w:t>
            </w:r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Normal"/>
              <w:ind w:right="-157" w:hanging="0"/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 xml:space="preserve">Решение </w:t>
            </w:r>
          </w:p>
        </w:tc>
      </w:tr>
      <w:tr>
        <w:trPr/>
        <w:tc>
          <w:tcPr>
            <w:tcW w:w="283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4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EA-60173</w:t>
            </w:r>
          </w:p>
        </w:tc>
        <w:tc>
          <w:tcPr>
            <w:tcW w:w="168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Normal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"САНА" / 5754004670</w:t>
            </w:r>
          </w:p>
        </w:tc>
        <w:tc>
          <w:tcPr>
            <w:tcW w:w="18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4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47 847,80 руб.</w:t>
            </w:r>
          </w:p>
        </w:tc>
        <w:tc>
          <w:tcPr>
            <w:tcW w:w="19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4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Полторацкий Алексей Николаевич</w:t>
            </w:r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4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Не соответствует</w:t>
            </w:r>
          </w:p>
        </w:tc>
      </w:tr>
      <w:tr>
        <w:trPr/>
        <w:tc>
          <w:tcPr>
            <w:tcW w:w="283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4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EA-60173</w:t>
            </w:r>
          </w:p>
        </w:tc>
        <w:tc>
          <w:tcPr>
            <w:tcW w:w="168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Normal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"САНА" / 5754004670</w:t>
            </w:r>
          </w:p>
        </w:tc>
        <w:tc>
          <w:tcPr>
            <w:tcW w:w="18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4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47 847,80 руб.</w:t>
            </w:r>
          </w:p>
        </w:tc>
        <w:tc>
          <w:tcPr>
            <w:tcW w:w="19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4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Меркель Светлана Леоновна</w:t>
            </w:r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4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Не соответствует</w:t>
            </w:r>
          </w:p>
        </w:tc>
      </w:tr>
      <w:tr>
        <w:trPr/>
        <w:tc>
          <w:tcPr>
            <w:tcW w:w="283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4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EA-60173</w:t>
            </w:r>
          </w:p>
        </w:tc>
        <w:tc>
          <w:tcPr>
            <w:tcW w:w="168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Normal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"САНА" / 5754004670</w:t>
            </w:r>
          </w:p>
        </w:tc>
        <w:tc>
          <w:tcPr>
            <w:tcW w:w="18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4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47 847,80 руб.</w:t>
            </w:r>
          </w:p>
        </w:tc>
        <w:tc>
          <w:tcPr>
            <w:tcW w:w="19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4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Жданова Елена Николаевна</w:t>
            </w:r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4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Не соответствует</w:t>
            </w:r>
          </w:p>
        </w:tc>
      </w:tr>
      <w:tr>
        <w:trPr/>
        <w:tc>
          <w:tcPr>
            <w:tcW w:w="283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4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EA-60173</w:t>
            </w:r>
          </w:p>
        </w:tc>
        <w:tc>
          <w:tcPr>
            <w:tcW w:w="168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Normal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"САНА" / 5754004670</w:t>
            </w:r>
          </w:p>
        </w:tc>
        <w:tc>
          <w:tcPr>
            <w:tcW w:w="18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4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47 847,80 руб.</w:t>
            </w:r>
          </w:p>
        </w:tc>
        <w:tc>
          <w:tcPr>
            <w:tcW w:w="19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4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Монастырева Марина Николаевна</w:t>
            </w:r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4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Не соответствует</w:t>
            </w:r>
          </w:p>
        </w:tc>
      </w:tr>
      <w:tr>
        <w:trPr/>
        <w:tc>
          <w:tcPr>
            <w:tcW w:w="283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4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EA-60173</w:t>
            </w:r>
          </w:p>
        </w:tc>
        <w:tc>
          <w:tcPr>
            <w:tcW w:w="168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Normal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"САНА" / 5754004670</w:t>
            </w:r>
          </w:p>
        </w:tc>
        <w:tc>
          <w:tcPr>
            <w:tcW w:w="18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4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47 847,80 руб.</w:t>
            </w:r>
          </w:p>
        </w:tc>
        <w:tc>
          <w:tcPr>
            <w:tcW w:w="19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4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Суслова Ольга Геннадьевна</w:t>
            </w:r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4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Не соответствует</w:t>
            </w:r>
          </w:p>
        </w:tc>
      </w:tr>
      <w:tr>
        <w:trPr/>
        <w:tc>
          <w:tcPr>
            <w:tcW w:w="283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4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EA-60353</w:t>
            </w:r>
          </w:p>
        </w:tc>
        <w:tc>
          <w:tcPr>
            <w:tcW w:w="168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Normal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ТОРГОВЫЙ ДОМ "МЕДПОЛИМЕРПРОМ" / 7703640102</w:t>
            </w:r>
          </w:p>
        </w:tc>
        <w:tc>
          <w:tcPr>
            <w:tcW w:w="18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4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48 182,40 руб.</w:t>
            </w:r>
          </w:p>
        </w:tc>
        <w:tc>
          <w:tcPr>
            <w:tcW w:w="19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4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Полторацкий Алексей Николаевич</w:t>
            </w:r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4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83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4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EA-60353</w:t>
            </w:r>
          </w:p>
        </w:tc>
        <w:tc>
          <w:tcPr>
            <w:tcW w:w="168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Normal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ТОРГОВЫЙ ДОМ "МЕДПОЛИМЕРПРОМ" / 7703640102</w:t>
            </w:r>
          </w:p>
        </w:tc>
        <w:tc>
          <w:tcPr>
            <w:tcW w:w="18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4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48 182,40 руб.</w:t>
            </w:r>
          </w:p>
        </w:tc>
        <w:tc>
          <w:tcPr>
            <w:tcW w:w="19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4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Меркель Светлана Леоновна</w:t>
            </w:r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4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83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4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EA-60353</w:t>
            </w:r>
          </w:p>
        </w:tc>
        <w:tc>
          <w:tcPr>
            <w:tcW w:w="168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Normal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ТОРГОВЫЙ ДОМ "МЕДПОЛИМЕРПРОМ" / 7703640102</w:t>
            </w:r>
          </w:p>
        </w:tc>
        <w:tc>
          <w:tcPr>
            <w:tcW w:w="18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4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48 182,40 руб.</w:t>
            </w:r>
          </w:p>
        </w:tc>
        <w:tc>
          <w:tcPr>
            <w:tcW w:w="19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4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Жданова Елена Николаевна</w:t>
            </w:r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4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83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4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EA-60353</w:t>
            </w:r>
          </w:p>
        </w:tc>
        <w:tc>
          <w:tcPr>
            <w:tcW w:w="168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Normal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ТОРГОВЫЙ ДОМ "МЕДПОЛИМЕРПРОМ" / 7703640102</w:t>
            </w:r>
          </w:p>
        </w:tc>
        <w:tc>
          <w:tcPr>
            <w:tcW w:w="18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4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48 182,40 руб.</w:t>
            </w:r>
          </w:p>
        </w:tc>
        <w:tc>
          <w:tcPr>
            <w:tcW w:w="19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4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Монастырева Марина Николаевна</w:t>
            </w:r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4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83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4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EA-60353</w:t>
            </w:r>
          </w:p>
        </w:tc>
        <w:tc>
          <w:tcPr>
            <w:tcW w:w="168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Normal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ТОРГОВЫЙ ДОМ "МЕДПОЛИМЕРПРОМ" / 7703640102</w:t>
            </w:r>
          </w:p>
        </w:tc>
        <w:tc>
          <w:tcPr>
            <w:tcW w:w="18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4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48 182,40 руб.</w:t>
            </w:r>
          </w:p>
        </w:tc>
        <w:tc>
          <w:tcPr>
            <w:tcW w:w="19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4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Суслова Ольга Геннадьевна</w:t>
            </w:r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4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83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4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EA-60141</w:t>
            </w:r>
          </w:p>
        </w:tc>
        <w:tc>
          <w:tcPr>
            <w:tcW w:w="168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Normal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"ПРАЙМ" / 7728388529</w:t>
            </w:r>
          </w:p>
        </w:tc>
        <w:tc>
          <w:tcPr>
            <w:tcW w:w="18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4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66 000,00 руб.</w:t>
            </w:r>
          </w:p>
        </w:tc>
        <w:tc>
          <w:tcPr>
            <w:tcW w:w="19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4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Полторацкий Алексей Николаевич</w:t>
            </w:r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4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83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4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EA-60141</w:t>
            </w:r>
          </w:p>
        </w:tc>
        <w:tc>
          <w:tcPr>
            <w:tcW w:w="168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Normal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"ПРАЙМ" / 7728388529</w:t>
            </w:r>
          </w:p>
        </w:tc>
        <w:tc>
          <w:tcPr>
            <w:tcW w:w="18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4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66 000,00 руб.</w:t>
            </w:r>
          </w:p>
        </w:tc>
        <w:tc>
          <w:tcPr>
            <w:tcW w:w="19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4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Меркель Светлана Леоновна</w:t>
            </w:r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4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83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4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EA-60141</w:t>
            </w:r>
          </w:p>
        </w:tc>
        <w:tc>
          <w:tcPr>
            <w:tcW w:w="168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Normal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"ПРАЙМ" / 7728388529</w:t>
            </w:r>
          </w:p>
        </w:tc>
        <w:tc>
          <w:tcPr>
            <w:tcW w:w="18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4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66 000,00 руб.</w:t>
            </w:r>
          </w:p>
        </w:tc>
        <w:tc>
          <w:tcPr>
            <w:tcW w:w="19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4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Жданова Елена Николаевна</w:t>
            </w:r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4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83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4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EA-60141</w:t>
            </w:r>
          </w:p>
        </w:tc>
        <w:tc>
          <w:tcPr>
            <w:tcW w:w="168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Normal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"ПРАЙМ" / 7728388529</w:t>
            </w:r>
          </w:p>
        </w:tc>
        <w:tc>
          <w:tcPr>
            <w:tcW w:w="18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4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66 000,00 руб.</w:t>
            </w:r>
          </w:p>
        </w:tc>
        <w:tc>
          <w:tcPr>
            <w:tcW w:w="19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4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Монастырева Марина Николаевна</w:t>
            </w:r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4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83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4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EA-60141</w:t>
            </w:r>
          </w:p>
        </w:tc>
        <w:tc>
          <w:tcPr>
            <w:tcW w:w="168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Normal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"ПРАЙМ" / 7728388529</w:t>
            </w:r>
          </w:p>
        </w:tc>
        <w:tc>
          <w:tcPr>
            <w:tcW w:w="18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4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66 000,00 руб.</w:t>
            </w:r>
          </w:p>
        </w:tc>
        <w:tc>
          <w:tcPr>
            <w:tcW w:w="19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4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Суслова Ольга Геннадьевна</w:t>
            </w:r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4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83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4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EA-60157</w:t>
            </w:r>
          </w:p>
        </w:tc>
        <w:tc>
          <w:tcPr>
            <w:tcW w:w="168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Normal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МАЛОВА ИРИНА АЛЕКСАНДРОВНА / 525203819295</w:t>
            </w:r>
          </w:p>
        </w:tc>
        <w:tc>
          <w:tcPr>
            <w:tcW w:w="18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4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66 800,00 руб.</w:t>
            </w:r>
          </w:p>
        </w:tc>
        <w:tc>
          <w:tcPr>
            <w:tcW w:w="19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4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Полторацкий Алексей Николаевич</w:t>
            </w:r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4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83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4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EA-60157</w:t>
            </w:r>
          </w:p>
        </w:tc>
        <w:tc>
          <w:tcPr>
            <w:tcW w:w="168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Normal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МАЛОВА ИРИНА АЛЕКСАНДРОВНА / 525203819295</w:t>
            </w:r>
          </w:p>
        </w:tc>
        <w:tc>
          <w:tcPr>
            <w:tcW w:w="18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4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66 800,00 руб.</w:t>
            </w:r>
          </w:p>
        </w:tc>
        <w:tc>
          <w:tcPr>
            <w:tcW w:w="19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4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Меркель Светлана Леоновна</w:t>
            </w:r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4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83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4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EA-60157</w:t>
            </w:r>
          </w:p>
        </w:tc>
        <w:tc>
          <w:tcPr>
            <w:tcW w:w="168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Normal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МАЛОВА ИРИНА АЛЕКСАНДРОВНА / 525203819295</w:t>
            </w:r>
          </w:p>
        </w:tc>
        <w:tc>
          <w:tcPr>
            <w:tcW w:w="18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4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66 800,00 руб.</w:t>
            </w:r>
          </w:p>
        </w:tc>
        <w:tc>
          <w:tcPr>
            <w:tcW w:w="19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4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Жданова Елена Николаевна</w:t>
            </w:r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4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83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4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EA-60157</w:t>
            </w:r>
          </w:p>
        </w:tc>
        <w:tc>
          <w:tcPr>
            <w:tcW w:w="168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Normal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МАЛОВА ИРИНА АЛЕКСАНДРОВНА / 525203819295</w:t>
            </w:r>
          </w:p>
        </w:tc>
        <w:tc>
          <w:tcPr>
            <w:tcW w:w="18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4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66 800,00 руб.</w:t>
            </w:r>
          </w:p>
        </w:tc>
        <w:tc>
          <w:tcPr>
            <w:tcW w:w="19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4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Монастырева Марина Николаевна</w:t>
            </w:r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4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83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4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EA-60157</w:t>
            </w:r>
          </w:p>
        </w:tc>
        <w:tc>
          <w:tcPr>
            <w:tcW w:w="168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Normal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МАЛОВА ИРИНА АЛЕКСАНДРОВНА / 525203819295</w:t>
            </w:r>
          </w:p>
        </w:tc>
        <w:tc>
          <w:tcPr>
            <w:tcW w:w="18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4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66 800,00 руб.</w:t>
            </w:r>
          </w:p>
        </w:tc>
        <w:tc>
          <w:tcPr>
            <w:tcW w:w="19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4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Суслова Ольга Геннадьевна</w:t>
            </w:r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4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</w:tbl>
    <w:p>
      <w:pPr>
        <w:pStyle w:val="Normal"/>
        <w:jc w:val="both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en-US"/>
        </w:rPr>
      </w:r>
    </w:p>
    <w:p>
      <w:pPr>
        <w:pStyle w:val="Normal"/>
        <w:jc w:val="both"/>
        <w:rPr/>
      </w:pPr>
      <w:r>
        <w:rPr>
          <w:rFonts w:eastAsia="Times New Roman"/>
          <w:sz w:val="20"/>
          <w:szCs w:val="20"/>
        </w:rPr>
        <w:t>В результате рассмотрения вторых частей заявок победителем электронного аукциона признается ОБЩЕСТВО С ОГРАНИЧЕННОЙ ОТВЕТСТВЕННОСТЬЮ ТОРГОВЫЙ ДОМ "МЕДПОЛИМЕРПРОМ", предложивший цену контракта 48 182,40 руб.</w:t>
      </w:r>
    </w:p>
    <w:p>
      <w:pPr>
        <w:pStyle w:val="Normal"/>
        <w:jc w:val="both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p>
      <w:pPr>
        <w:pStyle w:val="Normal"/>
        <w:jc w:val="both"/>
        <w:rPr/>
      </w:pPr>
      <w:r>
        <w:rPr>
          <w:rFonts w:eastAsia="Times New Roman"/>
          <w:sz w:val="20"/>
          <w:szCs w:val="20"/>
        </w:rPr>
        <w:t>На основании рассмотрения вторых частей заявок на участие в электронном аукционе, а также в соответствии с ч. 10 ст. 69 Федерального закона от 05.04.2013 №44-ФЗ «О контрактной системе в сфере закупок товаров, работ, услуг для обеспечения государственных и муниципальных нужд» контракт заключается с участником ОБЩЕСТВО С ОГРАНИЧЕННОЙ ОТВЕТСТВЕННОСТЬЮ ТОРГОВЫЙ ДОМ "МЕДПОЛИМЕРПРОМ", который предложил наиболее низкую цену контракта и заявка на участие в электронном аукционе которого соответствует требованиям, установленным документацией об электронном аукционе.</w:t>
      </w:r>
    </w:p>
    <w:p>
      <w:pPr>
        <w:pStyle w:val="Normal"/>
        <w:jc w:val="both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p>
      <w:pPr>
        <w:pStyle w:val="Normal"/>
        <w:jc w:val="both"/>
        <w:rPr/>
      </w:pPr>
      <w:r>
        <w:rPr>
          <w:rFonts w:eastAsia="Times New Roman"/>
          <w:sz w:val="20"/>
          <w:szCs w:val="20"/>
        </w:rPr>
        <w:t>Настоящий протокол подлежит размещению в единой информационной системе в сфере закупок в порядке и в сроки, установленные Федеральным законом от 05.04.2013 №44-ФЗ «О контрактной системе в сфере закупок товаров, работ, услуг для обеспечения государственных и муниципальных нужд».</w:t>
      </w:r>
    </w:p>
    <w:p>
      <w:pPr>
        <w:pStyle w:val="Normal"/>
        <w:jc w:val="both"/>
        <w:rPr>
          <w:rFonts w:eastAsia="Times New Roman"/>
          <w:sz w:val="20"/>
          <w:szCs w:val="20"/>
        </w:rPr>
      </w:pPr>
      <w:r>
        <w:rPr/>
      </w:r>
    </w:p>
    <w:p>
      <w:pPr>
        <w:pStyle w:val="Normal"/>
        <w:ind w:firstLine="567"/>
        <w:jc w:val="both"/>
        <w:rPr>
          <w:sz w:val="20"/>
          <w:szCs w:val="20"/>
        </w:rPr>
      </w:pPr>
      <w:r>
        <w:rPr>
          <w:rFonts w:eastAsia="Times New Roman"/>
          <w:sz w:val="20"/>
          <w:szCs w:val="20"/>
          <w:highlight w:val="white"/>
        </w:rPr>
        <w:t>Протокол составлен в одном экземпляре, который хранится в ОБЛАСТНО</w:t>
      </w:r>
      <w:r>
        <w:rPr>
          <w:rFonts w:eastAsia="Times New Roman"/>
          <w:color w:val="000000"/>
          <w:sz w:val="20"/>
          <w:szCs w:val="20"/>
          <w:highlight w:val="white"/>
        </w:rPr>
        <w:t>М</w:t>
      </w:r>
      <w:r>
        <w:rPr>
          <w:rFonts w:eastAsia="Times New Roman"/>
          <w:sz w:val="20"/>
          <w:szCs w:val="20"/>
          <w:highlight w:val="white"/>
        </w:rPr>
        <w:t xml:space="preserve"> КАЗЕННО</w:t>
      </w:r>
      <w:r>
        <w:rPr>
          <w:rFonts w:eastAsia="Times New Roman"/>
          <w:color w:val="000000"/>
          <w:sz w:val="20"/>
          <w:szCs w:val="20"/>
          <w:highlight w:val="white"/>
        </w:rPr>
        <w:t>М</w:t>
      </w:r>
      <w:r>
        <w:rPr>
          <w:rFonts w:eastAsia="Times New Roman"/>
          <w:sz w:val="20"/>
          <w:szCs w:val="20"/>
          <w:highlight w:val="white"/>
        </w:rPr>
        <w:t xml:space="preserve"> УЧРЕЖДЕНИ</w:t>
      </w:r>
      <w:r>
        <w:rPr>
          <w:rFonts w:eastAsia="Times New Roman"/>
          <w:color w:val="000000"/>
          <w:sz w:val="20"/>
          <w:szCs w:val="20"/>
          <w:highlight w:val="white"/>
        </w:rPr>
        <w:t>И</w:t>
      </w:r>
      <w:r>
        <w:rPr>
          <w:rFonts w:eastAsia="Times New Roman"/>
          <w:sz w:val="20"/>
          <w:szCs w:val="20"/>
          <w:highlight w:val="white"/>
        </w:rPr>
        <w:t>"ЦЕНТР ЗАКУПОК КУРСКОЙ ОБЛАСТИ" и подписан всеми присутствующими членами аукционной комиссии.</w:t>
      </w:r>
    </w:p>
    <w:p>
      <w:pPr>
        <w:pStyle w:val="Normal"/>
        <w:jc w:val="both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p>
      <w:pPr>
        <w:pStyle w:val="Normal"/>
        <w:rPr/>
      </w:pPr>
      <w:r>
        <w:rPr>
          <w:rFonts w:eastAsia="Times New Roman"/>
          <w:sz w:val="20"/>
          <w:szCs w:val="20"/>
        </w:rPr>
        <w:t>Подписи</w:t>
      </w:r>
    </w:p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tbl>
      <w:tblPr>
        <w:tblW w:w="9922" w:type="dxa"/>
        <w:jc w:val="left"/>
        <w:tblInd w:w="-55" w:type="dxa"/>
        <w:tblCellMar>
          <w:top w:w="55" w:type="dxa"/>
          <w:left w:w="55" w:type="dxa"/>
          <w:bottom w:w="55" w:type="dxa"/>
          <w:right w:w="55" w:type="dxa"/>
        </w:tblCellMar>
        <w:tblLook w:firstRow="1" w:noVBand="1" w:lastRow="0" w:firstColumn="1" w:lastColumn="0" w:noHBand="0" w:val="04a0"/>
      </w:tblPr>
      <w:tblGrid>
        <w:gridCol w:w="3307"/>
        <w:gridCol w:w="3301"/>
        <w:gridCol w:w="3314"/>
      </w:tblGrid>
      <w:tr>
        <w:trPr/>
        <w:tc>
          <w:tcPr>
            <w:tcW w:w="3307" w:type="dxa"/>
            <w:tcBorders/>
            <w:shd w:color="auto" w:fill="auto" w:val="clear"/>
            <w:vAlign w:val="bottom"/>
          </w:tcPr>
          <w:p>
            <w:pPr>
              <w:pStyle w:val="Style24"/>
              <w:rPr/>
            </w:pPr>
            <w:r>
              <w:rPr>
                <w:rFonts w:eastAsia="Times New Roman"/>
                <w:sz w:val="20"/>
                <w:szCs w:val="20"/>
                <w:lang w:val="en-US"/>
              </w:rPr>
              <w:t>Председатель комиссии</w:t>
            </w:r>
          </w:p>
        </w:tc>
        <w:tc>
          <w:tcPr>
            <w:tcW w:w="3301" w:type="dxa"/>
            <w:tcBorders/>
            <w:shd w:color="auto" w:fill="auto" w:val="clear"/>
          </w:tcPr>
          <w:p>
            <w:pPr>
              <w:pStyle w:val="Style24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</w:r>
          </w:p>
        </w:tc>
        <w:tc>
          <w:tcPr>
            <w:tcW w:w="3314" w:type="dxa"/>
            <w:tcBorders/>
            <w:shd w:color="auto" w:fill="auto" w:val="clear"/>
            <w:vAlign w:val="bottom"/>
          </w:tcPr>
          <w:p>
            <w:pPr>
              <w:pStyle w:val="Style24"/>
              <w:rPr/>
            </w:pPr>
            <w:r>
              <w:rPr>
                <w:sz w:val="20"/>
                <w:szCs w:val="20"/>
                <w:lang w:val="en-US"/>
              </w:rPr>
              <w:t>Полторацкий Алексей Николаевич</w:t>
            </w:r>
          </w:p>
        </w:tc>
      </w:tr>
      <w:tr>
        <w:trPr/>
        <w:tc>
          <w:tcPr>
            <w:tcW w:w="3307" w:type="dxa"/>
            <w:tcBorders/>
            <w:shd w:color="auto" w:fill="auto" w:val="clear"/>
            <w:vAlign w:val="bottom"/>
          </w:tcPr>
          <w:p>
            <w:pPr>
              <w:pStyle w:val="Style24"/>
              <w:rPr/>
            </w:pPr>
            <w:r>
              <w:rPr>
                <w:rFonts w:eastAsia="Times New Roman"/>
                <w:sz w:val="20"/>
                <w:szCs w:val="20"/>
                <w:lang w:val="en-US"/>
              </w:rPr>
              <w:t>Зам. председателя комиссии</w:t>
            </w:r>
          </w:p>
        </w:tc>
        <w:tc>
          <w:tcPr>
            <w:tcW w:w="3301" w:type="dxa"/>
            <w:tcBorders/>
            <w:shd w:color="auto" w:fill="auto" w:val="clear"/>
          </w:tcPr>
          <w:p>
            <w:pPr>
              <w:pStyle w:val="Style24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</w:r>
          </w:p>
        </w:tc>
        <w:tc>
          <w:tcPr>
            <w:tcW w:w="3314" w:type="dxa"/>
            <w:tcBorders/>
            <w:shd w:color="auto" w:fill="auto" w:val="clear"/>
            <w:vAlign w:val="bottom"/>
          </w:tcPr>
          <w:p>
            <w:pPr>
              <w:pStyle w:val="Style24"/>
              <w:rPr/>
            </w:pPr>
            <w:r>
              <w:rPr>
                <w:sz w:val="20"/>
                <w:szCs w:val="20"/>
                <w:lang w:val="en-US"/>
              </w:rPr>
              <w:t>Меркель Светлана Леоновна</w:t>
            </w:r>
          </w:p>
        </w:tc>
      </w:tr>
      <w:tr>
        <w:trPr/>
        <w:tc>
          <w:tcPr>
            <w:tcW w:w="3307" w:type="dxa"/>
            <w:tcBorders/>
            <w:shd w:color="auto" w:fill="auto" w:val="clear"/>
            <w:vAlign w:val="bottom"/>
          </w:tcPr>
          <w:p>
            <w:pPr>
              <w:pStyle w:val="Style24"/>
              <w:rPr/>
            </w:pPr>
            <w:r>
              <w:rPr>
                <w:rFonts w:eastAsia="Times New Roman"/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301" w:type="dxa"/>
            <w:tcBorders/>
            <w:shd w:color="auto" w:fill="auto" w:val="clear"/>
          </w:tcPr>
          <w:p>
            <w:pPr>
              <w:pStyle w:val="Style24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</w:r>
          </w:p>
        </w:tc>
        <w:tc>
          <w:tcPr>
            <w:tcW w:w="3314" w:type="dxa"/>
            <w:tcBorders/>
            <w:shd w:color="auto" w:fill="auto" w:val="clear"/>
            <w:vAlign w:val="bottom"/>
          </w:tcPr>
          <w:p>
            <w:pPr>
              <w:pStyle w:val="Style24"/>
              <w:rPr/>
            </w:pPr>
            <w:r>
              <w:rPr>
                <w:sz w:val="20"/>
                <w:szCs w:val="20"/>
                <w:lang w:val="en-US"/>
              </w:rPr>
              <w:t>Жданова Елена Николаевна</w:t>
            </w:r>
          </w:p>
        </w:tc>
      </w:tr>
      <w:tr>
        <w:trPr/>
        <w:tc>
          <w:tcPr>
            <w:tcW w:w="3307" w:type="dxa"/>
            <w:tcBorders/>
            <w:shd w:color="auto" w:fill="auto" w:val="clear"/>
            <w:vAlign w:val="bottom"/>
          </w:tcPr>
          <w:p>
            <w:pPr>
              <w:pStyle w:val="Style24"/>
              <w:rPr/>
            </w:pPr>
            <w:r>
              <w:rPr>
                <w:rFonts w:eastAsia="Times New Roman"/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301" w:type="dxa"/>
            <w:tcBorders/>
            <w:shd w:color="auto" w:fill="auto" w:val="clear"/>
          </w:tcPr>
          <w:p>
            <w:pPr>
              <w:pStyle w:val="Style24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</w:r>
          </w:p>
        </w:tc>
        <w:tc>
          <w:tcPr>
            <w:tcW w:w="3314" w:type="dxa"/>
            <w:tcBorders/>
            <w:shd w:color="auto" w:fill="auto" w:val="clear"/>
            <w:vAlign w:val="bottom"/>
          </w:tcPr>
          <w:p>
            <w:pPr>
              <w:pStyle w:val="Style24"/>
              <w:rPr/>
            </w:pPr>
            <w:r>
              <w:rPr>
                <w:sz w:val="20"/>
                <w:szCs w:val="20"/>
                <w:lang w:val="en-US"/>
              </w:rPr>
              <w:t>Монастырева Марина Николаевна</w:t>
            </w:r>
          </w:p>
        </w:tc>
      </w:tr>
      <w:tr>
        <w:trPr/>
        <w:tc>
          <w:tcPr>
            <w:tcW w:w="3307" w:type="dxa"/>
            <w:tcBorders/>
            <w:shd w:color="auto" w:fill="auto" w:val="clear"/>
            <w:vAlign w:val="bottom"/>
          </w:tcPr>
          <w:p>
            <w:pPr>
              <w:pStyle w:val="Style24"/>
              <w:rPr/>
            </w:pPr>
            <w:r>
              <w:rPr>
                <w:rFonts w:eastAsia="Times New Roman"/>
                <w:sz w:val="20"/>
                <w:szCs w:val="20"/>
                <w:lang w:val="en-US"/>
              </w:rPr>
              <w:t>Секретарь комиссии</w:t>
            </w:r>
          </w:p>
        </w:tc>
        <w:tc>
          <w:tcPr>
            <w:tcW w:w="3301" w:type="dxa"/>
            <w:tcBorders/>
            <w:shd w:color="auto" w:fill="auto" w:val="clear"/>
          </w:tcPr>
          <w:p>
            <w:pPr>
              <w:pStyle w:val="Style24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</w:r>
          </w:p>
        </w:tc>
        <w:tc>
          <w:tcPr>
            <w:tcW w:w="3314" w:type="dxa"/>
            <w:tcBorders/>
            <w:shd w:color="auto" w:fill="auto" w:val="clear"/>
            <w:vAlign w:val="bottom"/>
          </w:tcPr>
          <w:p>
            <w:pPr>
              <w:pStyle w:val="Style24"/>
              <w:rPr/>
            </w:pPr>
            <w:r>
              <w:rPr>
                <w:sz w:val="20"/>
                <w:szCs w:val="20"/>
                <w:lang w:val="en-US"/>
              </w:rPr>
              <w:t>Суслова Ольга Геннадьевна</w:t>
            </w:r>
          </w:p>
        </w:tc>
      </w:tr>
    </w:tbl>
    <w:sectPr>
      <w:type w:val="nextPage"/>
      <w:pgSz w:w="11906" w:h="16838"/>
      <w:pgMar w:left="1418" w:right="566" w:header="0" w:top="1134" w:footer="0" w:bottom="1134" w:gutter="0"/>
      <w:pgNumType w:fmt="decimal"/>
      <w:formProt w:val="false"/>
      <w:textDirection w:val="lrTb"/>
      <w:docGrid w:type="default" w:linePitch="360" w:charSpace="0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cc"/>
    <w:family w:val="roman"/>
    <w:pitch w:val="variable"/>
  </w:font>
  <w:font w:name="Times New Roman">
    <w:charset w:val="cc"/>
    <w:family w:val="roman"/>
    <w:pitch w:val="variable"/>
  </w:font>
  <w:font w:name="Segoe UI">
    <w:charset w:val="cc"/>
    <w:family w:val="roman"/>
    <w:pitch w:val="variable"/>
  </w:font>
  <w:font w:name="Liberation Sans">
    <w:altName w:val="Arial"/>
    <w:charset w:val="cc"/>
    <w:family w:val="roman"/>
    <w:pitch w:val="variable"/>
  </w:font>
</w:fonts>
</file>

<file path=word/settings.xml><?xml version="1.0" encoding="utf-8"?>
<w:settings xmlns:w="http://schemas.openxmlformats.org/wordprocessingml/2006/main">
  <w:zoom w:percent="120"/>
  <w:defaultTabStop w:val="708"/>
  <w:autoHyphenation w:val="true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themeFontLang w:val="" w:eastAsia="" w:bidi=""/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Times New Roman" w:hAnsi="Times New Roman" w:eastAsia="Times New Roman" w:cs="Times New Roman"/>
        <w:lang w:val="ru-RU" w:eastAsia="ru-RU" w:bidi="ar-SA"/>
      </w:rPr>
    </w:rPrDefault>
    <w:pPrDefault>
      <w:pPr>
        <w:suppressAutoHyphens w:val="true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uiPriority="9" w:semiHidden="1" w:unhideWhenUsed="1" w:qFormat="1"/>
    <w:lsdException w:name="heading 3" w:uiPriority="9" w:semiHidden="1" w:unhideWhenUsed="1" w:qFormat="1"/>
    <w:lsdException w:name="heading 4" w:uiPriority="9" w:semiHidden="1" w:unhideWhenUsed="1" w:qFormat="1"/>
    <w:lsdException w:name="heading 5" w:uiPriority="9" w:semiHidden="1" w:unhideWhenUsed="1" w:qFormat="1"/>
    <w:lsdException w:name="heading 6" w:uiPriority="9" w:semiHidden="1" w:unhideWhenUsed="1" w:qFormat="1"/>
    <w:lsdException w:name="heading 7" w:uiPriority="9" w:semiHidden="1" w:unhideWhenUsed="1" w:qFormat="1"/>
    <w:lsdException w:name="heading 8" w:uiPriority="9" w:semiHidden="1" w:unhideWhenUsed="1" w:qFormat="1"/>
    <w:lsdException w:name="heading 9" w:uiPriority="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uiPriority="39" w:semiHidden="1" w:unhideWhenUsed="1"/>
    <w:lsdException w:name="toc 2" w:uiPriority="39" w:semiHidden="1" w:unhideWhenUsed="1"/>
    <w:lsdException w:name="toc 3" w:uiPriority="39" w:semiHidden="1" w:unhideWhenUsed="1"/>
    <w:lsdException w:name="toc 4" w:uiPriority="39" w:semiHidden="1" w:unhideWhenUsed="1"/>
    <w:lsdException w:name="toc 5" w:uiPriority="39" w:semiHidden="1" w:unhideWhenUsed="1"/>
    <w:lsdException w:name="toc 6" w:uiPriority="39" w:semiHidden="1" w:unhideWhenUsed="1"/>
    <w:lsdException w:name="toc 7" w:uiPriority="39" w:semiHidden="1" w:unhideWhenUsed="1"/>
    <w:lsdException w:name="toc 8" w:uiPriority="39" w:semiHidden="1" w:unhideWhenUsed="1"/>
    <w:lsdException w:name="toc 9" w:uiPriority="3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uiPriority="35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uiPriority="1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uiPriority="37" w:semiHidden="1" w:unhideWhenUsed="1"/>
    <w:lsdException w:name="TOC Heading" w:uiPriority="39" w:semiHidden="1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styleId="Normal" w:default="1">
    <w:name w:val="Normal"/>
    <w:qFormat/>
    <w:pPr>
      <w:widowControl/>
      <w:bidi w:val="0"/>
      <w:spacing w:before="0" w:after="0"/>
      <w:jc w:val="left"/>
    </w:pPr>
    <w:rPr>
      <w:rFonts w:ascii="Times New Roman" w:hAnsi="Times New Roman" w:eastAsia="" w:cs="Times New Roman" w:eastAsiaTheme="minorEastAsia"/>
      <w:color w:val="00000A"/>
      <w:kern w:val="0"/>
      <w:sz w:val="24"/>
      <w:szCs w:val="24"/>
      <w:lang w:val="ru-RU" w:eastAsia="ru-RU" w:bidi="ar-SA"/>
    </w:rPr>
  </w:style>
  <w:style w:type="character" w:styleId="DefaultParagraphFont" w:default="1">
    <w:name w:val="Default Paragraph Font"/>
    <w:uiPriority w:val="1"/>
    <w:semiHidden/>
    <w:unhideWhenUsed/>
    <w:qFormat/>
    <w:rPr/>
  </w:style>
  <w:style w:type="character" w:styleId="Annotationreference">
    <w:name w:val="annotation reference"/>
    <w:basedOn w:val="DefaultParagraphFont"/>
    <w:uiPriority w:val="99"/>
    <w:semiHidden/>
    <w:unhideWhenUsed/>
    <w:qFormat/>
    <w:rsid w:val="00b171ee"/>
    <w:rPr>
      <w:sz w:val="16"/>
      <w:szCs w:val="16"/>
    </w:rPr>
  </w:style>
  <w:style w:type="character" w:styleId="Style14" w:customStyle="1">
    <w:name w:val="Текст примечания Знак"/>
    <w:basedOn w:val="DefaultParagraphFont"/>
    <w:uiPriority w:val="99"/>
    <w:semiHidden/>
    <w:qFormat/>
    <w:rsid w:val="00b171ee"/>
    <w:rPr>
      <w:rFonts w:eastAsia="" w:eastAsiaTheme="minorEastAsia"/>
    </w:rPr>
  </w:style>
  <w:style w:type="character" w:styleId="Style15" w:customStyle="1">
    <w:name w:val="Тема примечания Знак"/>
    <w:basedOn w:val="Style14"/>
    <w:uiPriority w:val="99"/>
    <w:semiHidden/>
    <w:qFormat/>
    <w:rsid w:val="00b171ee"/>
    <w:rPr>
      <w:rFonts w:eastAsia="" w:eastAsiaTheme="minorEastAsia"/>
      <w:b/>
      <w:bCs/>
    </w:rPr>
  </w:style>
  <w:style w:type="character" w:styleId="Style16" w:customStyle="1">
    <w:name w:val="Текст выноски Знак"/>
    <w:basedOn w:val="DefaultParagraphFont"/>
    <w:uiPriority w:val="99"/>
    <w:semiHidden/>
    <w:qFormat/>
    <w:rsid w:val="00b171ee"/>
    <w:rPr>
      <w:rFonts w:ascii="Segoe UI" w:hAnsi="Segoe UI" w:eastAsia="" w:cs="Segoe UI" w:eastAsiaTheme="minorEastAsia"/>
      <w:sz w:val="18"/>
      <w:szCs w:val="18"/>
    </w:rPr>
  </w:style>
  <w:style w:type="character" w:styleId="Style17">
    <w:name w:val="Выделение"/>
    <w:qFormat/>
    <w:rPr>
      <w:i/>
      <w:iCs/>
    </w:rPr>
  </w:style>
  <w:style w:type="paragraph" w:styleId="Style18">
    <w:name w:val="Заголовок"/>
    <w:basedOn w:val="Normal"/>
    <w:next w:val="Style19"/>
    <w:qFormat/>
    <w:pPr>
      <w:keepNext w:val="true"/>
      <w:spacing w:before="240" w:after="120"/>
    </w:pPr>
    <w:rPr>
      <w:rFonts w:ascii="Liberation Sans" w:hAnsi="Liberation Sans" w:eastAsia="Microsoft YaHei" w:cs="Arial Unicode MS"/>
      <w:sz w:val="28"/>
      <w:szCs w:val="28"/>
    </w:rPr>
  </w:style>
  <w:style w:type="paragraph" w:styleId="Style19">
    <w:name w:val="Body Text"/>
    <w:basedOn w:val="Normal"/>
    <w:pPr>
      <w:spacing w:lineRule="auto" w:line="288" w:before="0" w:after="140"/>
    </w:pPr>
    <w:rPr/>
  </w:style>
  <w:style w:type="paragraph" w:styleId="Style20">
    <w:name w:val="List"/>
    <w:basedOn w:val="Style19"/>
    <w:pPr/>
    <w:rPr>
      <w:rFonts w:cs="Noto Sans Devanagari"/>
    </w:rPr>
  </w:style>
  <w:style w:type="paragraph" w:styleId="Style21">
    <w:name w:val="Caption"/>
    <w:basedOn w:val="Normal"/>
    <w:qFormat/>
    <w:pPr>
      <w:suppressLineNumbers/>
      <w:spacing w:before="120" w:after="120"/>
    </w:pPr>
    <w:rPr>
      <w:rFonts w:cs="Arial Unicode MS"/>
      <w:i/>
      <w:iCs/>
      <w:sz w:val="24"/>
      <w:szCs w:val="24"/>
    </w:rPr>
  </w:style>
  <w:style w:type="paragraph" w:styleId="Style22">
    <w:name w:val="Указатель"/>
    <w:basedOn w:val="Normal"/>
    <w:qFormat/>
    <w:pPr>
      <w:suppressLineNumbers/>
    </w:pPr>
    <w:rPr>
      <w:rFonts w:cs="Arial Unicode MS"/>
    </w:rPr>
  </w:style>
  <w:style w:type="paragraph" w:styleId="Style23">
    <w:name w:val="Title"/>
    <w:basedOn w:val="Normal"/>
    <w:next w:val="Style19"/>
    <w:qFormat/>
    <w:pPr>
      <w:keepNext w:val="true"/>
      <w:spacing w:before="240" w:after="120"/>
    </w:pPr>
    <w:rPr>
      <w:rFonts w:ascii="Liberation Sans" w:hAnsi="Liberation Sans" w:eastAsia="Noto Sans CJK SC Regular" w:cs="Noto Sans Devanagari"/>
      <w:sz w:val="28"/>
      <w:szCs w:val="28"/>
    </w:rPr>
  </w:style>
  <w:style w:type="paragraph" w:styleId="Caption">
    <w:name w:val="caption"/>
    <w:basedOn w:val="Normal"/>
    <w:qFormat/>
    <w:pPr>
      <w:suppressLineNumbers/>
      <w:spacing w:before="120" w:after="120"/>
    </w:pPr>
    <w:rPr>
      <w:rFonts w:cs="Noto Sans Devanagari"/>
      <w:i/>
      <w:iCs/>
    </w:rPr>
  </w:style>
  <w:style w:type="paragraph" w:styleId="Indexheading">
    <w:name w:val="index heading"/>
    <w:basedOn w:val="Normal"/>
    <w:qFormat/>
    <w:pPr>
      <w:suppressLineNumbers/>
    </w:pPr>
    <w:rPr>
      <w:rFonts w:cs="Noto Sans Devanagari"/>
    </w:rPr>
  </w:style>
  <w:style w:type="paragraph" w:styleId="Dt" w:customStyle="1">
    <w:name w:val="dt"/>
    <w:basedOn w:val="Normal"/>
    <w:qFormat/>
    <w:pPr>
      <w:spacing w:beforeAutospacing="1" w:afterAutospacing="1"/>
    </w:pPr>
    <w:rPr/>
  </w:style>
  <w:style w:type="paragraph" w:styleId="Th" w:customStyle="1">
    <w:name w:val="th"/>
    <w:basedOn w:val="Normal"/>
    <w:qFormat/>
    <w:pPr>
      <w:shd w:val="clear" w:color="auto" w:fill="EEEEEE"/>
      <w:spacing w:beforeAutospacing="1" w:afterAutospacing="1"/>
    </w:pPr>
    <w:rPr/>
  </w:style>
  <w:style w:type="paragraph" w:styleId="Fr" w:customStyle="1">
    <w:name w:val="fr"/>
    <w:basedOn w:val="Normal"/>
    <w:qFormat/>
    <w:pPr>
      <w:spacing w:beforeAutospacing="1" w:afterAutospacing="1"/>
    </w:pPr>
    <w:rPr/>
  </w:style>
  <w:style w:type="paragraph" w:styleId="Headingcenter1" w:customStyle="1">
    <w:name w:val="headingcenter1"/>
    <w:basedOn w:val="Normal"/>
    <w:qFormat/>
    <w:pPr>
      <w:spacing w:beforeAutospacing="1" w:afterAutospacing="1"/>
      <w:jc w:val="center"/>
    </w:pPr>
    <w:rPr>
      <w:b/>
      <w:bCs/>
      <w:sz w:val="28"/>
      <w:szCs w:val="28"/>
    </w:rPr>
  </w:style>
  <w:style w:type="paragraph" w:styleId="Usual1" w:customStyle="1">
    <w:name w:val="usual1"/>
    <w:basedOn w:val="Normal"/>
    <w:qFormat/>
    <w:pPr>
      <w:spacing w:beforeAutospacing="1" w:after="200"/>
    </w:pPr>
    <w:rPr/>
  </w:style>
  <w:style w:type="paragraph" w:styleId="Usual2" w:customStyle="1">
    <w:name w:val="usual2"/>
    <w:basedOn w:val="Normal"/>
    <w:qFormat/>
    <w:pPr>
      <w:spacing w:beforeAutospacing="1" w:after="200"/>
      <w:ind w:left="460" w:hanging="0"/>
    </w:pPr>
    <w:rPr/>
  </w:style>
  <w:style w:type="paragraph" w:styleId="Margleft1" w:customStyle="1">
    <w:name w:val="margleft1"/>
    <w:basedOn w:val="Normal"/>
    <w:qFormat/>
    <w:pPr>
      <w:spacing w:beforeAutospacing="1" w:afterAutospacing="1"/>
    </w:pPr>
    <w:rPr/>
  </w:style>
  <w:style w:type="paragraph" w:styleId="Commissiontable" w:customStyle="1">
    <w:name w:val="commissiontable"/>
    <w:basedOn w:val="Normal"/>
    <w:qFormat/>
    <w:pPr>
      <w:spacing w:beforeAutospacing="1" w:afterAutospacing="1"/>
    </w:pPr>
    <w:rPr/>
  </w:style>
  <w:style w:type="paragraph" w:styleId="Requests" w:customStyle="1">
    <w:name w:val="requests"/>
    <w:basedOn w:val="Normal"/>
    <w:qFormat/>
    <w:pPr>
      <w:spacing w:beforeAutospacing="1" w:afterAutospacing="1"/>
      <w:ind w:left="460" w:hanging="0"/>
    </w:pPr>
    <w:rPr/>
  </w:style>
  <w:style w:type="paragraph" w:styleId="Margtab1" w:customStyle="1">
    <w:name w:val="margtab1"/>
    <w:basedOn w:val="Normal"/>
    <w:qFormat/>
    <w:pPr>
      <w:spacing w:beforeAutospacing="1" w:afterAutospacing="1"/>
      <w:ind w:left="460" w:hanging="0"/>
    </w:pPr>
    <w:rPr/>
  </w:style>
  <w:style w:type="paragraph" w:styleId="Annotationtext">
    <w:name w:val="annotation text"/>
    <w:basedOn w:val="Normal"/>
    <w:uiPriority w:val="99"/>
    <w:semiHidden/>
    <w:unhideWhenUsed/>
    <w:qFormat/>
    <w:rsid w:val="00b171ee"/>
    <w:pPr/>
    <w:rPr>
      <w:sz w:val="20"/>
      <w:szCs w:val="20"/>
    </w:rPr>
  </w:style>
  <w:style w:type="paragraph" w:styleId="Annotationsubject">
    <w:name w:val="annotation subject"/>
    <w:basedOn w:val="Annotationtext"/>
    <w:uiPriority w:val="99"/>
    <w:semiHidden/>
    <w:unhideWhenUsed/>
    <w:qFormat/>
    <w:rsid w:val="00b171ee"/>
    <w:pPr/>
    <w:rPr>
      <w:b/>
      <w:bCs/>
    </w:rPr>
  </w:style>
  <w:style w:type="paragraph" w:styleId="BalloonText">
    <w:name w:val="Balloon Text"/>
    <w:basedOn w:val="Normal"/>
    <w:uiPriority w:val="99"/>
    <w:semiHidden/>
    <w:unhideWhenUsed/>
    <w:qFormat/>
    <w:rsid w:val="00b171ee"/>
    <w:pPr/>
    <w:rPr>
      <w:rFonts w:ascii="Segoe UI" w:hAnsi="Segoe UI" w:cs="Segoe UI"/>
      <w:sz w:val="18"/>
      <w:szCs w:val="18"/>
    </w:rPr>
  </w:style>
  <w:style w:type="paragraph" w:styleId="NormalWeb">
    <w:name w:val="Normal (Web)"/>
    <w:basedOn w:val="Normal"/>
    <w:uiPriority w:val="99"/>
    <w:unhideWhenUsed/>
    <w:qFormat/>
    <w:rsid w:val="00c6449d"/>
    <w:pPr>
      <w:spacing w:beforeAutospacing="1" w:afterAutospacing="1"/>
    </w:pPr>
    <w:rPr>
      <w:rFonts w:eastAsia="Times New Roman"/>
    </w:rPr>
  </w:style>
  <w:style w:type="paragraph" w:styleId="Style24" w:customStyle="1">
    <w:name w:val="Содержимое таблицы"/>
    <w:basedOn w:val="Normal"/>
    <w:qFormat/>
    <w:pPr/>
    <w:rPr/>
  </w:style>
  <w:style w:type="paragraph" w:styleId="Style25" w:customStyle="1">
    <w:name w:val="Заголовок таблицы"/>
    <w:basedOn w:val="Style24"/>
    <w:qFormat/>
    <w:pPr/>
    <w:rPr/>
  </w:style>
  <w:style w:type="paragraph" w:styleId="DocumentMap" w:customStyle="1">
    <w:name w:val="Document Map"/>
    <w:qFormat/>
    <w:pPr>
      <w:widowControl/>
      <w:bidi w:val="0"/>
      <w:spacing w:before="0" w:after="0"/>
      <w:jc w:val="left"/>
    </w:pPr>
    <w:rPr>
      <w:rFonts w:ascii="Times New Roman" w:hAnsi="Times New Roman" w:eastAsia="Times New Roman" w:cs="Times New Roman"/>
      <w:color w:val="00000A"/>
      <w:kern w:val="0"/>
      <w:sz w:val="24"/>
      <w:szCs w:val="20"/>
      <w:lang w:val="ru-RU" w:eastAsia="ru-RU" w:bidi="ar-SA"/>
    </w:rPr>
  </w:style>
  <w:style w:type="numbering" w:styleId="NoList" w:default="1">
    <w:name w:val="No List"/>
    <w:uiPriority w:val="99"/>
    <w:semiHidden/>
    <w:unhideWhenUsed/>
    <w:qFormat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fontTable" Target="fontTable.xml"/><Relationship Id="rId3" Type="http://schemas.openxmlformats.org/officeDocument/2006/relationships/settings" Target="settings.xml"/><Relationship Id="rId4" Type="http://schemas.openxmlformats.org/officeDocument/2006/relationships/theme" Target="theme/theme1.xml"/>
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</TotalTime>
  <Application>LibreOffice/6.4.5.2$Windows_x86 LibreOffice_project/a726b36747cf2001e06b58ad5db1aa3a9a1872d6</Application>
  <Pages>6</Pages>
  <Words>1105</Words>
  <Characters>8251</Characters>
  <CharactersWithSpaces>9180</CharactersWithSpaces>
  <Paragraphs>183</Paragraphs>
  <Company>Hewlett-Packard Company</Compan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2020-01-20T14:42:00Z</dcterms:created>
  <dc:creator>Ларий Дарья Григорьевна</dc:creator>
  <dc:description/>
  <dc:language>ru-RU</dc:language>
  <cp:lastModifiedBy/>
  <dcterms:modified xsi:type="dcterms:W3CDTF">2020-10-22T12:35:06Z</dcterms:modified>
  <cp:revision>4</cp:revision>
  <dc:subject/>
  <dc:title/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AppVersion">
    <vt:lpwstr>16.0000</vt:lpwstr>
  </property>
  <property fmtid="{D5CDD505-2E9C-101B-9397-08002B2CF9AE}" pid="3" name="Company">
    <vt:lpwstr>Hewlett-Packard Company</vt:lpwstr>
  </property>
  <property fmtid="{D5CDD505-2E9C-101B-9397-08002B2CF9AE}" pid="4" name="DocSecurity">
    <vt:i4>0</vt:i4>
  </property>
  <property fmtid="{D5CDD505-2E9C-101B-9397-08002B2CF9AE}" pid="5" name="HyperlinksChanged">
    <vt:bool>0</vt:bool>
  </property>
  <property fmtid="{D5CDD505-2E9C-101B-9397-08002B2CF9AE}" pid="6" name="LinksUpToDate">
    <vt:bool>0</vt:bool>
  </property>
  <property fmtid="{D5CDD505-2E9C-101B-9397-08002B2CF9AE}" pid="7" name="ScaleCrop">
    <vt:bool>0</vt:bool>
  </property>
  <property fmtid="{D5CDD505-2E9C-101B-9397-08002B2CF9AE}" pid="8" name="ShareDoc">
    <vt:bool>0</vt:bool>
  </property>
</Properties>
</file>