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firstLine="567"/>
        <w:jc w:val="center"/>
        <w:rPr>
          <w:sz w:val="20"/>
          <w:szCs w:val="20"/>
        </w:rPr>
      </w:pPr>
      <w:r>
        <w:rPr>
          <w:rFonts w:eastAsia="Times New Roman"/>
          <w:b/>
          <w:bCs/>
          <w:sz w:val="20"/>
          <w:szCs w:val="20"/>
        </w:rPr>
        <w:t>Протокол подведения итогов электронного аукциона</w:t>
      </w:r>
    </w:p>
    <w:p>
      <w:pPr>
        <w:pStyle w:val="Normal"/>
        <w:ind w:firstLine="567"/>
        <w:jc w:val="center"/>
        <w:rPr/>
      </w:pPr>
      <w:r>
        <w:rPr>
          <w:rFonts w:eastAsia="Times New Roman"/>
          <w:b/>
          <w:bCs/>
          <w:sz w:val="20"/>
          <w:szCs w:val="20"/>
        </w:rPr>
        <w:t xml:space="preserve">"Оказание услуг по повышению квалификации работников физической культуры и спорта в сфере профилактики и предупреждения применения допинга в спорте" </w:t>
      </w:r>
    </w:p>
    <w:p>
      <w:pPr>
        <w:pStyle w:val="Normal"/>
        <w:ind w:firstLine="567"/>
        <w:jc w:val="center"/>
        <w:rPr/>
      </w:pPr>
      <w:r>
        <w:rPr>
          <w:rFonts w:eastAsia="Times New Roman"/>
          <w:b/>
          <w:bCs/>
          <w:sz w:val="20"/>
          <w:szCs w:val="20"/>
          <w:lang w:val="en-US"/>
        </w:rPr>
        <w:t xml:space="preserve">(№ </w:t>
      </w:r>
      <w:r>
        <w:rPr>
          <w:rFonts w:eastAsia="Times New Roman"/>
          <w:b/>
          <w:bCs/>
          <w:sz w:val="20"/>
          <w:szCs w:val="20"/>
        </w:rPr>
        <w:t>извещения</w:t>
      </w:r>
      <w:r>
        <w:rPr>
          <w:rFonts w:eastAsia="Times New Roman"/>
          <w:b/>
          <w:bCs/>
          <w:sz w:val="20"/>
          <w:szCs w:val="20"/>
          <w:lang w:val="en-US"/>
        </w:rPr>
        <w:t xml:space="preserve"> 0172200004520000031) </w:t>
      </w:r>
    </w:p>
    <w:p>
      <w:pPr>
        <w:pStyle w:val="Normal"/>
        <w:ind w:firstLine="567"/>
        <w:jc w:val="center"/>
        <w:rPr>
          <w:sz w:val="20"/>
          <w:szCs w:val="20"/>
          <w:lang w:val="en-US"/>
        </w:rPr>
      </w:pPr>
      <w:r>
        <w:rPr>
          <w:sz w:val="20"/>
          <w:szCs w:val="20"/>
          <w:lang w:val="en-US"/>
        </w:rPr>
      </w:r>
    </w:p>
    <w:p>
      <w:pPr>
        <w:pStyle w:val="Normal"/>
        <w:ind w:firstLine="567"/>
        <w:jc w:val="right"/>
        <w:rPr/>
      </w:pPr>
      <w:r>
        <w:rPr>
          <w:rFonts w:eastAsia="Times New Roman"/>
          <w:sz w:val="20"/>
          <w:szCs w:val="20"/>
          <w:lang w:val="en-US"/>
        </w:rPr>
        <w:t>05.11.20 17:37:14 (MSK+00:00)</w:t>
      </w:r>
    </w:p>
    <w:p>
      <w:pPr>
        <w:pStyle w:val="Normal"/>
        <w:ind w:firstLine="567"/>
        <w:rPr>
          <w:rFonts w:eastAsia="Times New Roman"/>
          <w:sz w:val="20"/>
          <w:szCs w:val="20"/>
          <w:lang w:val="en-US"/>
        </w:rPr>
      </w:pPr>
      <w:r>
        <w:rPr>
          <w:rFonts w:eastAsia="Times New Roman"/>
          <w:sz w:val="20"/>
          <w:szCs w:val="20"/>
          <w:lang w:val="en-US"/>
        </w:rPr>
      </w:r>
    </w:p>
    <w:p>
      <w:pPr>
        <w:pStyle w:val="Normal"/>
        <w:rPr/>
      </w:pPr>
      <w:r>
        <w:rPr>
          <w:rFonts w:eastAsia="Times New Roman"/>
          <w:sz w:val="20"/>
          <w:szCs w:val="20"/>
        </w:rPr>
        <w:t>Организатор</w:t>
      </w:r>
      <w:r>
        <w:rPr>
          <w:rFonts w:eastAsia="Times New Roman"/>
          <w:sz w:val="20"/>
          <w:szCs w:val="20"/>
          <w:lang w:val="en-US"/>
        </w:rPr>
        <w:t xml:space="preserve"> </w:t>
      </w:r>
      <w:r>
        <w:rPr>
          <w:rFonts w:eastAsia="Times New Roman"/>
          <w:sz w:val="20"/>
          <w:szCs w:val="20"/>
        </w:rPr>
        <w:t>аукциона</w:t>
      </w:r>
      <w:r>
        <w:rPr>
          <w:rFonts w:eastAsia="Times New Roman"/>
          <w:sz w:val="20"/>
          <w:szCs w:val="20"/>
          <w:lang w:val="en-US"/>
        </w:rPr>
        <w:t>: КОМИТЕТ ПО ФИЗИЧЕСКОЙ КУЛЬТУРЕ И СПОРТУ</w:t>
      </w:r>
    </w:p>
    <w:p>
      <w:pPr>
        <w:pStyle w:val="Normal"/>
        <w:rPr>
          <w:rFonts w:eastAsia="Times New Roman"/>
          <w:sz w:val="20"/>
          <w:szCs w:val="20"/>
          <w:lang w:val="en-US"/>
        </w:rPr>
      </w:pPr>
      <w:r>
        <w:rPr>
          <w:rFonts w:eastAsia="Times New Roman"/>
          <w:sz w:val="20"/>
          <w:szCs w:val="20"/>
          <w:lang w:val="en-US"/>
        </w:rPr>
      </w:r>
    </w:p>
    <w:p>
      <w:pPr>
        <w:pStyle w:val="Normal"/>
        <w:rPr/>
      </w:pPr>
      <w:r>
        <w:rPr>
          <w:rFonts w:eastAsia="Times New Roman"/>
          <w:sz w:val="20"/>
          <w:szCs w:val="20"/>
        </w:rPr>
        <w:t>Заказчик</w:t>
      </w:r>
      <w:r>
        <w:rPr>
          <w:rFonts w:eastAsia="Times New Roman"/>
          <w:sz w:val="20"/>
          <w:szCs w:val="20"/>
          <w:lang w:val="en-US"/>
        </w:rPr>
        <w:t>: КОМИТЕТ ПО ФИЗИЧЕСКОЙ КУЛЬТУРЕ И СПОРТУ</w:t>
      </w:r>
    </w:p>
    <w:p>
      <w:pPr>
        <w:pStyle w:val="Normal"/>
        <w:rPr>
          <w:rFonts w:eastAsia="Times New Roman"/>
          <w:sz w:val="20"/>
          <w:szCs w:val="20"/>
          <w:lang w:val="en-US"/>
        </w:rPr>
      </w:pPr>
      <w:r>
        <w:rPr>
          <w:rFonts w:eastAsia="Times New Roman"/>
          <w:sz w:val="20"/>
          <w:szCs w:val="20"/>
          <w:lang w:val="en-US"/>
        </w:rPr>
      </w:r>
    </w:p>
    <w:p>
      <w:pPr>
        <w:pStyle w:val="Normal"/>
        <w:rPr>
          <w:sz w:val="20"/>
          <w:szCs w:val="20"/>
        </w:rPr>
      </w:pPr>
      <w:r>
        <w:rPr>
          <w:rFonts w:eastAsia="Times New Roman"/>
          <w:sz w:val="20"/>
          <w:szCs w:val="20"/>
        </w:rPr>
        <w:t>Наименование закупки: Оказание услуг по повышению квалификации работников физической культуры и спорта в сфере профилактики и предупреждения применения допинга в спорте </w:t>
      </w:r>
    </w:p>
    <w:p>
      <w:pPr>
        <w:pStyle w:val="Normal"/>
        <w:rPr>
          <w:rFonts w:eastAsia="Times New Roman"/>
          <w:sz w:val="20"/>
          <w:szCs w:val="20"/>
        </w:rPr>
      </w:pPr>
      <w:r>
        <w:rPr>
          <w:rFonts w:eastAsia="Times New Roman"/>
          <w:sz w:val="20"/>
          <w:szCs w:val="20"/>
        </w:rPr>
      </w:r>
    </w:p>
    <w:p>
      <w:pPr>
        <w:pStyle w:val="Normal"/>
        <w:rPr/>
      </w:pPr>
      <w:r>
        <w:rPr>
          <w:rFonts w:eastAsia="Times New Roman"/>
          <w:sz w:val="20"/>
          <w:szCs w:val="20"/>
        </w:rPr>
        <w:t>Начальная (максимальная) цена контракта: 780 000,00 руб.</w:t>
      </w:r>
    </w:p>
    <w:p>
      <w:pPr>
        <w:pStyle w:val="Normal"/>
        <w:rPr>
          <w:rFonts w:eastAsia="Times New Roman"/>
        </w:rPr>
      </w:pPr>
      <w:r>
        <w:rPr>
          <w:rFonts w:eastAsia="Times New Roman"/>
        </w:rPr>
      </w:r>
    </w:p>
    <w:tbl>
      <w:tblPr>
        <w:tblW w:w="9922" w:type="dxa"/>
        <w:jc w:val="left"/>
        <w:tblInd w:w="-11" w:type="dxa"/>
        <w:tblCellMar>
          <w:top w:w="55" w:type="dxa"/>
          <w:left w:w="29" w:type="dxa"/>
          <w:bottom w:w="55" w:type="dxa"/>
          <w:right w:w="55" w:type="dxa"/>
        </w:tblCellMar>
        <w:tblLook w:firstRow="1" w:noVBand="1" w:lastRow="0" w:firstColumn="1" w:lastColumn="0" w:noHBand="0" w:val="04a0"/>
      </w:tblPr>
      <w:tblGrid>
        <w:gridCol w:w="1216"/>
        <w:gridCol w:w="8705"/>
      </w:tblGrid>
      <w:tr>
        <w:trPr/>
        <w:tc>
          <w:tcPr>
            <w:tcW w:w="1216" w:type="dxa"/>
            <w:tcBorders>
              <w:top w:val="single" w:sz="2" w:space="0" w:color="000001"/>
              <w:left w:val="single" w:sz="2" w:space="0" w:color="000001"/>
              <w:bottom w:val="single" w:sz="2" w:space="0" w:color="000001"/>
            </w:tcBorders>
            <w:shd w:fill="auto" w:val="clear"/>
          </w:tcPr>
          <w:p>
            <w:pPr>
              <w:pStyle w:val="Style30"/>
              <w:rPr/>
            </w:pPr>
            <w:r>
              <w:rPr>
                <w:sz w:val="20"/>
                <w:szCs w:val="20"/>
                <w:lang w:val="en-US"/>
              </w:rPr>
              <w:t>Требования</w:t>
            </w:r>
          </w:p>
        </w:tc>
        <w:tc>
          <w:tcPr>
            <w:tcW w:w="8705" w:type="dxa"/>
            <w:tcBorders>
              <w:top w:val="single" w:sz="2" w:space="0" w:color="000001"/>
              <w:left w:val="single" w:sz="2" w:space="0" w:color="000001"/>
              <w:bottom w:val="single" w:sz="2" w:space="0" w:color="000001"/>
              <w:right w:val="single" w:sz="2" w:space="0" w:color="000001"/>
            </w:tcBorders>
            <w:shd w:fill="auto" w:val="clear"/>
          </w:tcPr>
          <w:tbl>
            <w:tblPr>
              <w:tblW w:w="8598" w:type="dxa"/>
              <w:jc w:val="left"/>
              <w:tblInd w:w="0" w:type="dxa"/>
              <w:tblCellMar>
                <w:top w:w="55" w:type="dxa"/>
                <w:left w:w="55" w:type="dxa"/>
                <w:bottom w:w="55" w:type="dxa"/>
                <w:right w:w="55" w:type="dxa"/>
              </w:tblCellMar>
              <w:tblLook w:firstRow="1" w:noVBand="1" w:lastRow="0" w:firstColumn="1" w:lastColumn="0" w:noHBand="0" w:val="04a0"/>
            </w:tblPr>
            <w:tblGrid>
              <w:gridCol w:w="8598"/>
            </w:tblGrid>
            <w:tr>
              <w:trPr>
                <w:trHeight w:val="458" w:hRule="atLeast"/>
              </w:trPr>
              <w:tc>
                <w:tcPr>
                  <w:tcW w:w="8598" w:type="dxa"/>
                  <w:tcBorders/>
                  <w:shd w:fill="auto" w:val="clear"/>
                </w:tcPr>
                <w:p>
                  <w:pPr>
                    <w:pStyle w:val="Normal"/>
                    <w:jc w:val="both"/>
                    <w:rPr/>
                  </w:pPr>
                  <w:r>
                    <w:rPr>
                      <w:sz w:val="20"/>
                      <w:szCs w:val="20"/>
                      <w:lang w:val="en-US"/>
                    </w:rPr>
                    <w:t>Единые требования к участникам (в соответствии с частью 1 Статьи 31 Федерального закона № 44-ФЗ)</w:t>
                  </w:r>
                </w:p>
                <w:p>
                  <w:pPr>
                    <w:pStyle w:val="Normal"/>
                    <w:jc w:val="both"/>
                    <w:rPr/>
                  </w:pPr>
                  <w:r>
                    <w:rPr>
                      <w:sz w:val="20"/>
                      <w:szCs w:val="20"/>
                      <w:lang w:val="en-US"/>
                    </w:rPr>
                    <w:t>Единый требования. Наличие у участника лицензии на образовательную деятельность.</w:t>
                  </w:r>
                </w:p>
              </w:tc>
            </w:tr>
            <w:tr>
              <w:trPr>
                <w:trHeight w:val="458" w:hRule="atLeast"/>
              </w:trPr>
              <w:tc>
                <w:tcPr>
                  <w:tcW w:w="8598" w:type="dxa"/>
                  <w:tcBorders/>
                  <w:shd w:fill="auto" w:val="clear"/>
                </w:tcPr>
                <w:p>
                  <w:pPr>
                    <w:pStyle w:val="Normal"/>
                    <w:jc w:val="both"/>
                    <w:rPr/>
                  </w:pPr>
                  <w:r>
                    <w:rPr>
                      <w:sz w:val="20"/>
                      <w:szCs w:val="20"/>
                      <w:lang w:val="en-US"/>
                    </w:rPr>
                    <w:t>Единые требования к участникам (в соответствии с частью 1.1 статьи 31 Федерального закона № 44-ФЗ)</w:t>
                  </w:r>
                </w:p>
                <w:p>
                  <w:pPr>
                    <w:pStyle w:val="Normal"/>
                    <w:jc w:val="both"/>
                    <w:rPr/>
                  </w:pPr>
                  <w:r>
                    <w:rPr>
                      <w:sz w:val="20"/>
                      <w:szCs w:val="20"/>
                      <w:lang w:val="en-US"/>
                    </w:rPr>
                    <w:t>Отсутствие в Реестре недобросовестных поставщиков.</w:t>
                  </w:r>
                </w:p>
              </w:tc>
            </w:tr>
          </w:tbl>
          <w:p>
            <w:pPr>
              <w:pStyle w:val="Style30"/>
              <w:jc w:val="both"/>
              <w:rPr>
                <w:sz w:val="20"/>
                <w:szCs w:val="20"/>
                <w:lang w:val="en-US"/>
              </w:rPr>
            </w:pPr>
            <w:r>
              <w:rPr>
                <w:sz w:val="20"/>
                <w:szCs w:val="20"/>
                <w:lang w:val="en-US"/>
              </w:rPr>
            </w:r>
          </w:p>
        </w:tc>
      </w:tr>
    </w:tbl>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На заседании аукционной комиссии присутствуют:</w:t>
      </w:r>
    </w:p>
    <w:tbl>
      <w:tblPr>
        <w:tblW w:w="5000" w:type="pct"/>
        <w:jc w:val="left"/>
        <w:tblInd w:w="-14" w:type="dxa"/>
        <w:tblCellMar>
          <w:top w:w="15" w:type="dxa"/>
          <w:left w:w="15" w:type="dxa"/>
          <w:bottom w:w="15" w:type="dxa"/>
          <w:right w:w="15" w:type="dxa"/>
        </w:tblCellMar>
        <w:tblLook w:firstRow="1" w:noVBand="1" w:lastRow="0" w:firstColumn="1" w:lastColumn="0" w:noHBand="0" w:val="04a0"/>
      </w:tblPr>
      <w:tblGrid>
        <w:gridCol w:w="4960"/>
        <w:gridCol w:w="4961"/>
      </w:tblGrid>
      <w:tr>
        <w:trPr/>
        <w:tc>
          <w:tcPr>
            <w:tcW w:w="4960" w:type="dxa"/>
            <w:tcBorders/>
            <w:shd w:fill="auto" w:val="clear"/>
          </w:tcPr>
          <w:p>
            <w:pPr>
              <w:pStyle w:val="Normal"/>
              <w:rPr/>
            </w:pPr>
            <w:r>
              <w:rPr>
                <w:sz w:val="20"/>
                <w:szCs w:val="20"/>
                <w:lang w:val="en-US"/>
              </w:rPr>
              <w:t>Член комиссии</w:t>
            </w:r>
          </w:p>
        </w:tc>
        <w:tc>
          <w:tcPr>
            <w:tcW w:w="4961" w:type="dxa"/>
            <w:tcBorders/>
            <w:shd w:fill="auto" w:val="clear"/>
          </w:tcPr>
          <w:p>
            <w:pPr>
              <w:pStyle w:val="Normal"/>
              <w:rPr/>
            </w:pPr>
            <w:r>
              <w:rPr>
                <w:sz w:val="20"/>
                <w:szCs w:val="20"/>
                <w:lang w:val="en-US"/>
              </w:rPr>
              <w:t>Попова Ольга Алексеевна</w:t>
            </w:r>
          </w:p>
        </w:tc>
      </w:tr>
      <w:tr>
        <w:trPr/>
        <w:tc>
          <w:tcPr>
            <w:tcW w:w="4960" w:type="dxa"/>
            <w:tcBorders/>
            <w:shd w:fill="auto" w:val="clear"/>
          </w:tcPr>
          <w:p>
            <w:pPr>
              <w:pStyle w:val="Normal"/>
              <w:rPr/>
            </w:pPr>
            <w:r>
              <w:rPr>
                <w:sz w:val="20"/>
                <w:szCs w:val="20"/>
                <w:lang w:val="en-US"/>
              </w:rPr>
              <w:t>Член комиссии</w:t>
            </w:r>
          </w:p>
        </w:tc>
        <w:tc>
          <w:tcPr>
            <w:tcW w:w="4961" w:type="dxa"/>
            <w:tcBorders/>
            <w:shd w:fill="auto" w:val="clear"/>
          </w:tcPr>
          <w:p>
            <w:pPr>
              <w:pStyle w:val="Normal"/>
              <w:rPr/>
            </w:pPr>
            <w:r>
              <w:rPr>
                <w:sz w:val="20"/>
                <w:szCs w:val="20"/>
                <w:lang w:val="en-US"/>
              </w:rPr>
              <w:t>Тарасова Наталия Владимировна</w:t>
            </w:r>
          </w:p>
        </w:tc>
      </w:tr>
      <w:tr>
        <w:trPr/>
        <w:tc>
          <w:tcPr>
            <w:tcW w:w="4960" w:type="dxa"/>
            <w:tcBorders/>
            <w:shd w:fill="auto" w:val="clear"/>
          </w:tcPr>
          <w:p>
            <w:pPr>
              <w:pStyle w:val="Normal"/>
              <w:rPr/>
            </w:pPr>
            <w:r>
              <w:rPr>
                <w:sz w:val="20"/>
                <w:szCs w:val="20"/>
                <w:lang w:val="en-US"/>
              </w:rPr>
              <w:t>Член комиссии</w:t>
            </w:r>
          </w:p>
        </w:tc>
        <w:tc>
          <w:tcPr>
            <w:tcW w:w="4961" w:type="dxa"/>
            <w:tcBorders/>
            <w:shd w:fill="auto" w:val="clear"/>
          </w:tcPr>
          <w:p>
            <w:pPr>
              <w:pStyle w:val="Normal"/>
              <w:rPr/>
            </w:pPr>
            <w:r>
              <w:rPr>
                <w:sz w:val="20"/>
                <w:szCs w:val="20"/>
                <w:lang w:val="en-US"/>
              </w:rPr>
              <w:t>Татаурова Людмила Николаевна</w:t>
            </w:r>
          </w:p>
        </w:tc>
      </w:tr>
      <w:tr>
        <w:trPr/>
        <w:tc>
          <w:tcPr>
            <w:tcW w:w="4960" w:type="dxa"/>
            <w:tcBorders/>
            <w:shd w:fill="auto" w:val="clear"/>
          </w:tcPr>
          <w:p>
            <w:pPr>
              <w:pStyle w:val="Normal"/>
              <w:rPr/>
            </w:pPr>
            <w:r>
              <w:rPr>
                <w:sz w:val="20"/>
                <w:szCs w:val="20"/>
                <w:lang w:val="en-US"/>
              </w:rPr>
              <w:t>Член комиссии</w:t>
            </w:r>
          </w:p>
        </w:tc>
        <w:tc>
          <w:tcPr>
            <w:tcW w:w="4961" w:type="dxa"/>
            <w:tcBorders/>
            <w:shd w:fill="auto" w:val="clear"/>
          </w:tcPr>
          <w:p>
            <w:pPr>
              <w:pStyle w:val="Normal"/>
              <w:rPr/>
            </w:pPr>
            <w:r>
              <w:rPr>
                <w:sz w:val="20"/>
                <w:szCs w:val="20"/>
                <w:lang w:val="en-US"/>
              </w:rPr>
              <w:t>Полякова Элеонора Аркадьевна</w:t>
            </w:r>
          </w:p>
        </w:tc>
      </w:tr>
      <w:tr>
        <w:trPr/>
        <w:tc>
          <w:tcPr>
            <w:tcW w:w="4960" w:type="dxa"/>
            <w:tcBorders/>
            <w:shd w:fill="auto" w:val="clear"/>
          </w:tcPr>
          <w:p>
            <w:pPr>
              <w:pStyle w:val="Normal"/>
              <w:rPr/>
            </w:pPr>
            <w:r>
              <w:rPr>
                <w:sz w:val="20"/>
                <w:szCs w:val="20"/>
                <w:lang w:val="en-US"/>
              </w:rPr>
              <w:t>Секретарь комиссии (без права голоса)</w:t>
            </w:r>
          </w:p>
        </w:tc>
        <w:tc>
          <w:tcPr>
            <w:tcW w:w="4961" w:type="dxa"/>
            <w:tcBorders/>
            <w:shd w:fill="auto" w:val="clear"/>
          </w:tcPr>
          <w:p>
            <w:pPr>
              <w:pStyle w:val="Normal"/>
              <w:rPr/>
            </w:pPr>
            <w:r>
              <w:rPr>
                <w:sz w:val="20"/>
                <w:szCs w:val="20"/>
                <w:lang w:val="en-US"/>
              </w:rPr>
              <w:t>Шукшева Ольга Михайловна</w:t>
            </w:r>
          </w:p>
        </w:tc>
      </w:tr>
    </w:tbl>
    <w:p>
      <w:pPr>
        <w:pStyle w:val="Normal"/>
        <w:rPr>
          <w:rFonts w:eastAsia="Times New Roman"/>
          <w:sz w:val="20"/>
          <w:szCs w:val="20"/>
        </w:rPr>
      </w:pPr>
      <w:r>
        <w:rPr>
          <w:rFonts w:eastAsia="Times New Roman"/>
          <w:sz w:val="20"/>
          <w:szCs w:val="20"/>
        </w:rPr>
      </w:r>
    </w:p>
    <w:p>
      <w:pPr>
        <w:pStyle w:val="Normal"/>
        <w:jc w:val="both"/>
        <w:rPr/>
      </w:pPr>
      <w:r>
        <w:rPr>
          <w:rFonts w:eastAsia="Times New Roman"/>
          <w:sz w:val="20"/>
          <w:szCs w:val="20"/>
        </w:rPr>
        <w:t>Аукционной комиссией рассмотрены вторые части заявок на участие в аукционе, поданных его участниками, а также информация и электронные документы этих участников, предусмотренные частью 11 статьи 24.1 Федерального закона №44-ФЗ.</w:t>
      </w:r>
    </w:p>
    <w:p>
      <w:pPr>
        <w:pStyle w:val="Normal"/>
        <w:rPr>
          <w:rFonts w:eastAsia="Times New Roman"/>
          <w:sz w:val="20"/>
          <w:szCs w:val="20"/>
        </w:rPr>
      </w:pPr>
      <w:r>
        <w:rPr>
          <w:rFonts w:eastAsia="Times New Roman"/>
          <w:sz w:val="20"/>
          <w:szCs w:val="20"/>
        </w:rPr>
      </w:r>
    </w:p>
    <w:tbl>
      <w:tblPr>
        <w:tblW w:w="9922" w:type="dxa"/>
        <w:jc w:val="left"/>
        <w:tblInd w:w="55" w:type="dxa"/>
        <w:tblCellMar>
          <w:top w:w="55" w:type="dxa"/>
          <w:left w:w="55" w:type="dxa"/>
          <w:bottom w:w="55" w:type="dxa"/>
          <w:right w:w="55" w:type="dxa"/>
        </w:tblCellMar>
        <w:tblLook w:firstRow="1" w:noVBand="1" w:lastRow="0" w:firstColumn="1" w:lastColumn="0" w:noHBand="0" w:val="04a0"/>
      </w:tblPr>
      <w:tblGrid>
        <w:gridCol w:w="9922"/>
      </w:tblGrid>
      <w:tr>
        <w:trPr/>
        <w:tc>
          <w:tcPr>
            <w:tcW w:w="9922" w:type="dxa"/>
            <w:tcBorders/>
            <w:shd w:fill="auto" w:val="clear"/>
          </w:tcPr>
          <w:p>
            <w:pPr>
              <w:pStyle w:val="Normal"/>
              <w:ind w:left="-45" w:hanging="0"/>
              <w:rPr>
                <w:sz w:val="20"/>
                <w:szCs w:val="20"/>
              </w:rPr>
            </w:pPr>
            <w:r>
              <w:rPr>
                <w:rFonts w:eastAsia="Times New Roman"/>
                <w:sz w:val="20"/>
                <w:szCs w:val="20"/>
              </w:rPr>
              <w:t xml:space="preserve">Сведения о решении членов аукционной комиссии: </w:t>
            </w:r>
          </w:p>
        </w:tc>
      </w:tr>
      <w:tr>
        <w:trPr/>
        <w:tc>
          <w:tcPr>
            <w:tcW w:w="9922" w:type="dxa"/>
            <w:tcBorders>
              <w:top w:val="single" w:sz="2" w:space="0" w:color="000001"/>
              <w:left w:val="single" w:sz="2" w:space="0" w:color="000001"/>
              <w:bottom w:val="single" w:sz="2" w:space="0" w:color="000001"/>
              <w:right w:val="single" w:sz="2" w:space="0" w:color="000001"/>
            </w:tcBorders>
            <w:shd w:fill="auto" w:val="clear"/>
            <w:tcMar>
              <w:left w:w="0" w:type="dxa"/>
            </w:tcMar>
          </w:tcPr>
          <w:p>
            <w:pPr>
              <w:pStyle w:val="Normal"/>
              <w:ind w:left="72" w:firstLine="117"/>
              <w:rPr/>
            </w:pPr>
            <w:r>
              <w:rPr>
                <w:sz w:val="20"/>
                <w:szCs w:val="20"/>
              </w:rPr>
              <w:t>1 Идентификационный номер заявки: EA-61647</w:t>
            </w:r>
          </w:p>
          <w:p>
            <w:pPr>
              <w:pStyle w:val="Normal"/>
              <w:ind w:left="72" w:firstLine="117"/>
              <w:rPr/>
            </w:pPr>
            <w:r>
              <w:rPr>
                <w:sz w:val="20"/>
                <w:szCs w:val="20"/>
              </w:rPr>
              <w:t>Наименование / ИНН участника аукциона: ОБЩЕСТВО С ОГРАНИЧЕННОЙ ОТВЕТСТВЕННОСТЬЮ "АКАДЕМИЯ СОВРЕМЕННОГО ПРОФЕССИОНАЛЬНОГО ОБРАЗОВАНИЯ" / 6229092362</w:t>
            </w:r>
          </w:p>
          <w:p>
            <w:pPr>
              <w:pStyle w:val="Normal"/>
              <w:ind w:left="72" w:firstLine="117"/>
              <w:rPr/>
            </w:pPr>
            <w:r>
              <w:rPr>
                <w:sz w:val="20"/>
                <w:szCs w:val="20"/>
              </w:rPr>
              <w:t>Минимальное предложение о цене контракта, сделанное участником аукциона: 298 000,00 руб.</w:t>
            </w:r>
          </w:p>
          <w:p>
            <w:pPr>
              <w:pStyle w:val="Normal"/>
              <w:ind w:left="72" w:firstLine="117"/>
              <w:rPr/>
            </w:pPr>
            <w:r>
              <w:rPr>
                <w:sz w:val="20"/>
                <w:szCs w:val="20"/>
              </w:rPr>
              <w:t>Решение</w:t>
            </w:r>
            <w:r>
              <w:rPr>
                <w:sz w:val="20"/>
                <w:szCs w:val="20"/>
                <w:lang w:val="en-US"/>
              </w:rPr>
              <w:t>: Участник электронного аукциона и поданная им заявка НЕ СООТВЕТСТВУЕТ требованиям документации об электронном аукционе</w:t>
            </w:r>
          </w:p>
          <w:p>
            <w:pPr>
              <w:pStyle w:val="Normal"/>
              <w:ind w:left="72" w:firstLine="117"/>
              <w:rPr/>
            </w:pPr>
            <w:r>
              <w:rPr>
                <w:sz w:val="20"/>
                <w:szCs w:val="20"/>
                <w:lang w:val="en-US"/>
              </w:rPr>
              <w:t>Обоснование: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Причина несоответствия: В соответствии с Постановлением Правительства РФ от 28.10.2013 №966 О лицензировании образовательной деятельности" (вместе с "Положением о лицензировании образовательной деятельности") участник закупки  документально не подтвердил возможность осуществления услуг по  повышению квалификации работников физической культуры и спорта в сфере профилактики и предупреждения применения допинга в спорте по адресу, установленному заказчиком в извещении о закупке, документации об электронном аукционе – г. Санкт-Петербург, учебно-лабораторная и спортивная база Исполнителя, осуществляющая дополнительное профессиональное образование (повышение квалификации) специалистов. Поскольку согласно представленной им в составе второй части заявки копии лицензии на осуществление дополнительного профессионального образования от 28.10.2019 N 27-4190, местом осуществления лицензируемого вида деятельности является: 390028, Рязанская область, город Рязань, улица Сельских Строителей, дом 4 З, квартира 86.; Сведений о возможности осуществления лицензируемого вида деятельности на иной территории лицензия участника не содержит.
В соответствии с аукционной документацией вторая часть заявки на участие в электронном аукционе должна содержать документы, подтверждающие соответствие участника электронного аукциона требованиям, установленным в соответствии с пунктом 1 части 1 статьи 31 Федерального закона № 44-ФЗ, в том числе, копию действующей лицензии на осуществление образовательной деятельности 
по программам дополнительного профессионального образования в порядке, утверждённом приказом Министерства образования и науки  Российской Федерации от 01.07.2013 № 499. 
В Федеральном законе от 4.05.2011 № 99-ФЗ «О лицензировании отдельных видов деятельности»  предусмотрено требование о необходимости включения в лицензию сведений об адресах мест осуществления лицензируемого вида деятельности юридического лица (пункт 2 части 1 статьи 15).
В силу пункта 8 статьи 3 Закона о лицензировании местом осуществления отдельного вида деятельности, подлежащего лицензированию (далее - место осуществления лицензируемого вида деятельности) является объект (помещение, здание, сооружение, иной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 объект данные. Место осуществления лицензируемого вида деятельности может совпадать с местом нахождения соискателя лицензии или лицензиата.
Законом о лицензировании предусмотрена возможность переоформления лицензии в случае изменения адреса места осуществления юридическим лицом или индивидуальным предпринимателем лицензируемого вида деятельности (часть 1 статьи 18).
Вместе с тем, данным Законом предусмотрено условие о том, что до переоформления лицензии в случаях, предусмотренных частью 1 данной статьи, лицензиат вправе осуществлять лицензируемый вид деятельности, за исключением его осуществления по адресу, не указанному в лицензии (часть 2 статьи 18).
В соответствии с частью 7 статьи 18 Закона о лицензировании при намерении лицензиата осуществлять лицензируемый вид деятельности по адресу места его осуществления, не указанному в лицензии, в заявлении о переоформлении лицензии указываются этот адрес и сведения, подтверждающие соответствие лицензиата лицензионным требованиям при осуществлении лицензируемого вида деятельности по этому адресу. Перечень таких сведений устанавливается положением о лицензировании конкретного вида деятельности.
Из совокупности приведенных положений статьи 18 Закона о лицензировании следует установление законодателем запрета на осуществление лицензируемого вида деятельности по адресу, не указанному в лицензии, до того момента, как будет переоформлена лицензия.
Такой запрет установлен в целях предотвращения ущерба правам, законным интересам граждан, возможность нанесения которых связана с осуществлением юридическими лицами и индивидуальными предпринимателями этой деятельности, а также обусловлен установлением законодательством специальных требований к отдельным местам осуществления деятельности, в соблюдении которых лицензирующие органы должны иметь возможность удостовериться.
Таким образом, право на осуществление лицензируемого вида деятельности предоставляется лицу исключительно в отношении адресов, указанных в лицензии в качестве места осуществления соответствующего вида деятельности. Осуществление деятельности по адресу, не указанному в лицензии, может повлечь привлечение к административной ответственности, предусмотренной статьей 14.1 Кодекса Российской Федерации об административных правонарушениях.</w:t>
              <w:br/>
              <w:t/>
            </w:r>
          </w:p>
          <w:p>
            <w:pPr>
              <w:pStyle w:val="Normal"/>
              <w:ind w:left="72" w:firstLine="117"/>
              <w:rPr/>
            </w:pPr>
            <w:r>
              <w:rPr>
                <w:sz w:val="20"/>
                <w:szCs w:val="20"/>
              </w:rPr>
              <w:t>Сведения о решении членов аукционной комиссии:</w:t>
            </w:r>
          </w:p>
          <w:p>
            <w:pPr>
              <w:pStyle w:val="Normal"/>
              <w:ind w:left="72" w:firstLine="117"/>
              <w:rPr/>
            </w:pPr>
            <w:r>
              <w:rPr>
                <w:sz w:val="20"/>
                <w:szCs w:val="20"/>
              </w:rPr>
              <w:t>1. Попова Ольга Алексеевна: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2. Тарасова Наталия Владимировна: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3. Татаурова Людмила Николаевна: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4. Полякова Элеонора Аркадьевна: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r>
          </w:p>
          <w:p>
            <w:pPr>
              <w:pStyle w:val="Normal"/>
              <w:ind w:left="-45" w:hanging="0"/>
              <w:rPr>
                <w:sz w:val="20"/>
                <w:szCs w:val="20"/>
              </w:rPr>
            </w:pPr>
            <w:r>
              <w:rPr>
                <w:sz w:val="20"/>
                <w:szCs w:val="20"/>
              </w:rPr>
            </w:r>
          </w:p>
        </w:tc>
      </w:tr>
      <w:tr>
        <w:trPr/>
        <w:tc>
          <w:tcPr>
            <w:tcW w:w="9922" w:type="dxa"/>
            <w:tcBorders>
              <w:top w:val="single" w:sz="2" w:space="0" w:color="000001"/>
              <w:left w:val="single" w:sz="2" w:space="0" w:color="000001"/>
              <w:bottom w:val="single" w:sz="2" w:space="0" w:color="000001"/>
              <w:right w:val="single" w:sz="2" w:space="0" w:color="000001"/>
            </w:tcBorders>
            <w:shd w:fill="auto" w:val="clear"/>
            <w:tcMar>
              <w:left w:w="0" w:type="dxa"/>
            </w:tcMar>
          </w:tcPr>
          <w:p>
            <w:pPr>
              <w:pStyle w:val="Normal"/>
              <w:ind w:left="72" w:firstLine="117"/>
              <w:rPr/>
            </w:pPr>
            <w:r>
              <w:rPr>
                <w:sz w:val="20"/>
                <w:szCs w:val="20"/>
              </w:rPr>
              <w:t>2 Идентификационный номер заявки: EA-61877</w:t>
            </w:r>
          </w:p>
          <w:p>
            <w:pPr>
              <w:pStyle w:val="Normal"/>
              <w:ind w:left="72" w:firstLine="117"/>
              <w:rPr/>
            </w:pPr>
            <w:r>
              <w:rPr>
                <w:sz w:val="20"/>
                <w:szCs w:val="20"/>
              </w:rPr>
              <w:t>Наименование / ИНН участника аукциона: АВТОНОМНАЯ НЕКОММЕРЧЕСКАЯ ОРГАНИЗАЦИЯ ДОПОЛНИТЕЛЬНОГО ПРОФЕССИОНАЛЬНОГО ОБРАЗОВАНИЯ "ТЮМЕНСКИЙ МЕЖРЕГИОНАЛЬНЫЙ ЦЕНТР АТТЕСТАЦИИ ПЕРСОНАЛА" / 7203391480</w:t>
            </w:r>
          </w:p>
          <w:p>
            <w:pPr>
              <w:pStyle w:val="Normal"/>
              <w:ind w:left="72" w:firstLine="117"/>
              <w:rPr/>
            </w:pPr>
            <w:r>
              <w:rPr>
                <w:sz w:val="20"/>
                <w:szCs w:val="20"/>
              </w:rPr>
              <w:t>Минимальное предложение о цене контракта, сделанное участником аукциона: 319 999,99 руб.</w:t>
            </w:r>
          </w:p>
          <w:p>
            <w:pPr>
              <w:pStyle w:val="Normal"/>
              <w:ind w:left="72" w:firstLine="117"/>
              <w:rPr/>
            </w:pPr>
            <w:r>
              <w:rPr>
                <w:sz w:val="20"/>
                <w:szCs w:val="20"/>
              </w:rPr>
              <w:t>Решение</w:t>
            </w:r>
            <w:r>
              <w:rPr>
                <w:sz w:val="20"/>
                <w:szCs w:val="20"/>
                <w:lang w:val="en-US"/>
              </w:rPr>
              <w:t>: Участник электронного аукциона и поданная им заявка НЕ СООТВЕТСТВУЕТ требованиям документации об электронном аукционе</w:t>
            </w:r>
          </w:p>
          <w:p>
            <w:pPr>
              <w:pStyle w:val="Normal"/>
              <w:ind w:left="72" w:firstLine="117"/>
              <w:rPr/>
            </w:pPr>
            <w:r>
              <w:rPr>
                <w:sz w:val="20"/>
                <w:szCs w:val="20"/>
                <w:lang w:val="en-US"/>
              </w:rPr>
              <w:t>Обоснование: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Причина несоответствия: В соответствии с Постановлением Правительства РФ от 28.10.2013 №966                                О лицензировании образовательной деятельности" (вместе с "Положением о лицензировании образовательной деятельности") участник закупки  документально не подтвердил возможность осуществления услуг по  повышению квалификации работников физической культуры и спорта в сфере профилактики и предупреждения применения допинга в спорте по адресу, установленному заказчиком в извещении о закупке, документации об электронном аукционе – г. Санкт-Петербург, учебно-лабораторная и спортивная база Исполнителя, осуществляющая дополнительное профессиональное образование (повышение квалификации) специалистов. Поскольку согласно представленной им в составе второй части заявки копии лицензии на осуществление дополнительного профессионального образования от 27.05.2019 N 032 местом осуществления лицензируемого вида деятельности является: 625048, Россия, Тюменская область, город Тюмень, улица Мельникайте, дом 44а, корпус 1, офис 608; Сведений о возможности осуществления лицензируемого вида деятельности на иной территории лицензия участника не содержит.
В соответствии с аукционной документацией вторая часть заявки на участие в электронном аукционе должна содержать документы, подтверждающие соответствие участника электронного аукциона требованиям, установленным в соответствии с пунктом 1 части 1 статьи 31 Федерального закона № 44-ФЗ, в том числе, копию действующей лицензии на осуществление образовательной деятельности 
по программам дополнительного профессионального образования в порядке, утверждённом приказом Министерства образования и науки  Российской Федерации от 01.07.2013 № 499. 
В Федеральном законе от 4.05.2011 № 99-ФЗ «О лицензировании отдельных видов деятельности»  предусмотрено требование о необходимости включения в лицензию сведений об адресах мест осуществления лицензируемого вида деятельности юридического лица (пункт 2 части 1 статьи 15).
В силу пункта 8 статьи 3 Закона о лицензировании местом осуществления отдельного вида деятельности, подлежащего лицензированию (далее - место осуществления лицензируемого вида деятельности) является объект (помещение, здание, сооружение, иной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 объект данные. Место осуществления лицензируемого вида деятельности может совпадать с местом нахождения соискателя лицензии или лицензиата.
Законом о лицензировании предусмотрена возможность переоформления лицензии в случае изменения адреса места осуществления юридическим лицом или индивидуальным предпринимателем лицензируемого вида деятельности (часть 1 статьи 18).
Вместе с тем, данным Законом предусмотрено условие о том, что до переоформления лицензии в случаях, предусмотренных частью 1 данной статьи, лицензиат вправе осуществлять лицензируемый вид деятельности, за исключением его осуществления по адресу, не указанному в лицензии (часть 2 статьи 18).
В соответствии с частью 7 статьи 18 Закона о лицензировании при намерении лицензиата осуществлять лицензируемый вид деятельности по адресу места его осуществления, не указанному в лицензии, в заявлении о переоформлении лицензии указываются этот адрес и сведения, подтверждающие соответствие лицензиата лицензионным требованиям при осуществлении лицензируемого вида деятельности по этому адресу. Перечень таких сведений устанавливается положением о лицензировании конкретного вида деятельности.
Из совокупности приведенных положений статьи 18 Закона о лицензировании следует установление законодателем запрета на осуществление лицензируемого вида деятельности по адресу, не указанному в лицензии, до того момента, как будет переоформлена лицензия.
Такой запрет установлен в целях предотвращения ущерба правам, законным интересам граждан, возможность нанесения которых связана с осуществлением юридическими лицами и индивидуальными предпринимателями этой деятельности, а также обусловлен установлением законодательством специальных требований к отдельным местам осуществления деятельности, в соблюдении которых лицензирующие органы должны иметь возможность удостовериться.
Таким образом, право на осуществление лицензируемого вида деятельности предоставляется лицу исключительно в отношении адресов, указанных в лицензии в качестве места осуществления соответствующего вида деятельности. Осуществление деятельности по адресу, не указанному в лицензии, может повлечь привлечение к административной ответственности, предусмотренной статьей 14.1 Кодекса Российской Федерации об административных правонарушениях.</w:t>
              <w:br/>
              <w:t/>
            </w:r>
          </w:p>
          <w:p>
            <w:pPr>
              <w:pStyle w:val="Normal"/>
              <w:ind w:left="72" w:firstLine="117"/>
              <w:rPr/>
            </w:pPr>
            <w:r>
              <w:rPr>
                <w:sz w:val="20"/>
                <w:szCs w:val="20"/>
              </w:rPr>
              <w:t>Сведения о решении членов аукционной комиссии:</w:t>
            </w:r>
          </w:p>
          <w:p>
            <w:pPr>
              <w:pStyle w:val="Normal"/>
              <w:ind w:left="72" w:firstLine="117"/>
              <w:rPr/>
            </w:pPr>
            <w:r>
              <w:rPr>
                <w:sz w:val="20"/>
                <w:szCs w:val="20"/>
              </w:rPr>
              <w:t>1. Попова Ольга Алексеевна: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2. Тарасова Наталия Владимировна: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3. Татаурова Людмила Николаевна: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4. Полякова Элеонора Аркадьевна: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r>
          </w:p>
          <w:p>
            <w:pPr>
              <w:pStyle w:val="Normal"/>
              <w:ind w:left="-45" w:hanging="0"/>
              <w:rPr>
                <w:sz w:val="20"/>
                <w:szCs w:val="20"/>
              </w:rPr>
            </w:pPr>
            <w:r>
              <w:rPr>
                <w:sz w:val="20"/>
                <w:szCs w:val="20"/>
              </w:rPr>
            </w:r>
          </w:p>
        </w:tc>
      </w:tr>
      <w:tr>
        <w:trPr/>
        <w:tc>
          <w:tcPr>
            <w:tcW w:w="9922" w:type="dxa"/>
            <w:tcBorders>
              <w:top w:val="single" w:sz="2" w:space="0" w:color="000001"/>
              <w:left w:val="single" w:sz="2" w:space="0" w:color="000001"/>
              <w:bottom w:val="single" w:sz="2" w:space="0" w:color="000001"/>
              <w:right w:val="single" w:sz="2" w:space="0" w:color="000001"/>
            </w:tcBorders>
            <w:shd w:fill="auto" w:val="clear"/>
            <w:tcMar>
              <w:left w:w="0" w:type="dxa"/>
            </w:tcMar>
          </w:tcPr>
          <w:p>
            <w:pPr>
              <w:pStyle w:val="Normal"/>
              <w:ind w:left="72" w:firstLine="117"/>
              <w:rPr/>
            </w:pPr>
            <w:r>
              <w:rPr>
                <w:sz w:val="20"/>
                <w:szCs w:val="20"/>
              </w:rPr>
              <w:t>3 Идентификационный номер заявки: EA-62025</w:t>
            </w:r>
          </w:p>
          <w:p>
            <w:pPr>
              <w:pStyle w:val="Normal"/>
              <w:ind w:left="72" w:firstLine="117"/>
              <w:rPr/>
            </w:pPr>
            <w:r>
              <w:rPr>
                <w:sz w:val="20"/>
                <w:szCs w:val="20"/>
              </w:rPr>
              <w:t>Наименование / ИНН участника аукциона: АВТОНОМНАЯ НЕКОММЕРЧЕСКАЯ ОРГАНИЗАЦИЯ ДОПОЛНИТЕЛЬНОГО ПРОФЕССИОНАЛЬНОГО ОБРАЗОВАНИЯ "МЕЖДУНАРОДНЫЙ ИНСТИТУТ ПОВЫШЕНИЯ КВАЛИФИКАЦИИ И ПЕРЕПОДГОТОВКИ" / 5405963859</w:t>
            </w:r>
          </w:p>
          <w:p>
            <w:pPr>
              <w:pStyle w:val="Normal"/>
              <w:ind w:left="72" w:firstLine="117"/>
              <w:rPr/>
            </w:pPr>
            <w:r>
              <w:rPr>
                <w:sz w:val="20"/>
                <w:szCs w:val="20"/>
              </w:rPr>
              <w:t>Минимальное предложение о цене контракта, сделанное участником аукциона: 620 100,00 руб.</w:t>
            </w:r>
          </w:p>
          <w:p>
            <w:pPr>
              <w:pStyle w:val="Normal"/>
              <w:ind w:left="72" w:firstLine="117"/>
              <w:rPr/>
            </w:pPr>
            <w:r>
              <w:rPr>
                <w:sz w:val="20"/>
                <w:szCs w:val="20"/>
              </w:rPr>
              <w:t>Решение</w:t>
            </w:r>
            <w:r>
              <w:rPr>
                <w:sz w:val="20"/>
                <w:szCs w:val="20"/>
                <w:lang w:val="en-US"/>
              </w:rPr>
              <w:t>: Участник электронного аукциона и поданная им заявка НЕ СООТВЕТСТВУЕТ требованиям документации об электронном аукционе</w:t>
            </w:r>
          </w:p>
          <w:p>
            <w:pPr>
              <w:pStyle w:val="Normal"/>
              <w:ind w:left="72" w:firstLine="117"/>
              <w:rPr/>
            </w:pPr>
            <w:r>
              <w:rPr>
                <w:sz w:val="20"/>
                <w:szCs w:val="20"/>
                <w:lang w:val="en-US"/>
              </w:rPr>
              <w:t>Обоснование: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Причина несоответствия:В соответствии с Постановлением Правительства РФ от 28.10.2013 №966 О лицензировании образовательной деятельности" (вместе с "Положением о лицензировании образовательной деятельности") участник закупки  документально не подтвердил возможность осуществления услуг по  повышению квалификации работников физической культуры и спорта в сфере профилактики и предупреждения применения допинга в спорте по адресу, установленному заказчиком в извещении о закупке, документации об электронном аукционе – г. Санкт-Петербург, учебно-лабораторная и спортивная база Исполнителя, осуществляющая дополнительное профессиональное образование (повышение квалификации) специалистов. Поскольку согласно представленной им в составе второй части заявки копии лицензии на осуществление дополнительного профессионального образования от 18.06.2019 N 10957, местом осуществления лицензируемого вида деятельности является: 630009, Новосибирская область, город Новосибирск, улица Добролюбова дом 18/1, этаж 01, помещение 12; Сведений о возможности осуществления лицензируемого вида деятельности на иной территории лицензия участника не содержит.
В соответствии с аукционной документацией вторая часть заявки на участие в электронном аукционе должна содержать документы, подтверждающие соответствие участника электронного аукциона требованиям, установленным в соответствии с пунктом 1 части 1 статьи 31 Федерального закона № 44-ФЗ, в том числе, копию действующей лицензии на осуществление образовательной деятельности 
по программам дополнительного профессионального образования в порядке, утверждённом приказом Министерства образования и науки  Российской Федерации от 01.07.2013 № 499. 
В Федеральном законе от 4.05.2011 № 99-ФЗ «О лицензировании отдельных видов деятельности»  предусмотрено требование о необходимости включения в лицензию сведений об адресах мест осуществления лицензируемого вида деятельности юридического лица (пункт 2 части 1 статьи 15).
В силу пункта 8 статьи 3 Закона о лицензировании местом осуществления отдельного вида деятельности, подлежащего лицензированию (далее - место осуществления лицензируемого вида деятельности) является объект (помещение, здание, сооружение, иной объект), который предназначен для осуществления лицензируемого вида деятельности и (или) используется при его осуществлении, соответствует лицензионным требованиям, принадлежит соискателю лицензии или лицензиату на праве собственности либо ином законном основании, имеет почтовый адрес или другие позволяющие идентифицировать объект данные. Место осуществления лицензируемого вида деятельности может совпадать с местом нахождения соискателя лицензии или лицензиата.
Законом о лицензировании предусмотрена возможность переоформления лицензии в случае изменения адреса места осуществления юридическим лицом или индивидуальным предпринимателем лицензируемого вида деятельности (часть 1 статьи 18).
Вместе с тем, данным Законом предусмотрено условие о том, что до переоформления лицензии в случаях, предусмотренных частью 1 данной статьи, лицензиат вправе осуществлять лицензируемый вид деятельности, за исключением его осуществления по адресу, не указанному в лицензии (часть 2 статьи 18).
В соответствии с частью 7 статьи 18 Закона о лицензировании при намерении лицензиата осуществлять лицензируемый вид деятельности по адресу места его осуществления, не указанному в лицензии, в заявлении о переоформлении лицензии указываются этот адрес и сведения, подтверждающие соответствие лицензиата лицензионным требованиям при осуществлении лицензируемого вида деятельности по этому адресу. Перечень таких сведений устанавливается положением о лицензировании конкретного вида деятельности.
Из совокупности приведенных положений статьи 18 Закона о лицензировании следует установление законодателем запрета на осуществление лицензируемого вида деятельности по адресу, не указанному в лицензии, до того момента, как будет переоформлена лицензия.
Такой запрет установлен в целях предотвращения ущерба правам, законным интересам граждан, возможность нанесения которых связана с осуществлением юридическими лицами и индивидуальными предпринимателями этой деятельности, а также обусловлен установлением законодательством специальных требований к отдельным местам осуществления деятельности, в соблюдении которых лицензирующие органы должны иметь возможность удостовериться.
Таким образом, право на осуществление лицензируемого вида деятельности предоставляется лицу исключительно в отношении адресов, указанных в лицензии в качестве места осуществления соответствующего вида деятельности. Осуществление деятельности по адресу, не указанному в лицензии, может повлечь привлечение к административной ответственности, предусмотренной статьей 14.1 Кодекса Российской Федерации об административных правонарушениях.
</w:t>
              <w:br/>
              <w:t/>
            </w:r>
          </w:p>
          <w:p>
            <w:pPr>
              <w:pStyle w:val="Normal"/>
              <w:ind w:left="72" w:firstLine="117"/>
              <w:rPr/>
            </w:pPr>
            <w:r>
              <w:rPr>
                <w:sz w:val="20"/>
                <w:szCs w:val="20"/>
              </w:rPr>
              <w:t>Сведения о решении членов аукционной комиссии:</w:t>
            </w:r>
          </w:p>
          <w:p>
            <w:pPr>
              <w:pStyle w:val="Normal"/>
              <w:ind w:left="72" w:firstLine="117"/>
              <w:rPr/>
            </w:pPr>
            <w:r>
              <w:rPr>
                <w:sz w:val="20"/>
                <w:szCs w:val="20"/>
              </w:rPr>
              <w:t>1. Попова Ольга Алексеевна: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2. Тарасова Наталия Владимировна: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3. Татаурова Людмила Николаевна: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br/>
              <w:t>4. Полякова Элеонора Аркадьевна: Участник электронного аукциона и поданная им заявка НЕ СООТВЕТСТВУЕТ требованиям документации об электронном аукционе</w:t>
              <w:br/>
              <w:t>Обоснование отказа: непредставление документов и информации, которые предусмотрены частью 11 статьи 24.1, частями 3 и 5 статьи 66 Федерального закона №44-ФЗ, несоответствие указанных документов и информации требованиям, установленным документацией об аукционе, наличие в указанных документах недостоверной информации об участнике аукциона на дату и время окончания срока подачи заявок на участие в аукционе</w:t>
              <w:br/>
              <w:t/>
            </w:r>
          </w:p>
          <w:p>
            <w:pPr>
              <w:pStyle w:val="Normal"/>
              <w:ind w:left="-45" w:hanging="0"/>
              <w:rPr>
                <w:sz w:val="20"/>
                <w:szCs w:val="20"/>
              </w:rPr>
            </w:pPr>
            <w:r>
              <w:rPr>
                <w:sz w:val="20"/>
                <w:szCs w:val="20"/>
              </w:rPr>
            </w:r>
          </w:p>
        </w:tc>
      </w:tr>
      <w:tr>
        <w:trPr/>
        <w:tc>
          <w:tcPr>
            <w:tcW w:w="9922" w:type="dxa"/>
            <w:tcBorders>
              <w:top w:val="single" w:sz="2" w:space="0" w:color="000001"/>
              <w:left w:val="single" w:sz="2" w:space="0" w:color="000001"/>
              <w:bottom w:val="single" w:sz="2" w:space="0" w:color="000001"/>
              <w:right w:val="single" w:sz="2" w:space="0" w:color="000001"/>
            </w:tcBorders>
            <w:shd w:fill="auto" w:val="clear"/>
            <w:tcMar>
              <w:left w:w="0" w:type="dxa"/>
            </w:tcMar>
          </w:tcPr>
          <w:p>
            <w:pPr>
              <w:pStyle w:val="Normal"/>
              <w:ind w:left="72" w:firstLine="117"/>
              <w:rPr/>
            </w:pPr>
            <w:r>
              <w:rPr>
                <w:sz w:val="20"/>
                <w:szCs w:val="20"/>
              </w:rPr>
              <w:t>4 Идентификационный номер заявки: EA-62042</w:t>
            </w:r>
          </w:p>
          <w:p>
            <w:pPr>
              <w:pStyle w:val="Normal"/>
              <w:ind w:left="72" w:firstLine="117"/>
              <w:rPr/>
            </w:pPr>
            <w:r>
              <w:rPr>
                <w:sz w:val="20"/>
                <w:szCs w:val="20"/>
              </w:rPr>
              <w:t>Наименование / ИНН участника аукциона: ФЕДЕРАЛЬНОЕ ГОСУДАРСТВЕННОЕ БЮДЖЕТНОЕ ОБРАЗОВАТЕЛЬНОЕ УЧРЕЖДЕНИЕ ВЫСШЕГО ОБРАЗОВАНИЯ "НАЦИОНАЛЬНЫЙ ГОСУДАРСТВЕННЫЙ УНИВЕРСИТЕТ ФИЗИЧЕСКОЙ КУЛЬТУРЫ, СПОРТА И ЗДОРОВЬЯ ИМЕНИ П.Ф. ЛЕСГАФТА, САНКТ-ПЕТЕРБУРГ" / 7812047911</w:t>
            </w:r>
          </w:p>
          <w:p>
            <w:pPr>
              <w:pStyle w:val="Normal"/>
              <w:ind w:left="72" w:firstLine="117"/>
              <w:rPr/>
            </w:pPr>
            <w:r>
              <w:rPr>
                <w:sz w:val="20"/>
                <w:szCs w:val="20"/>
              </w:rPr>
              <w:t>Минимальное предложение о цене контракта, сделанное участником аукциона: 682 500,00 руб.</w:t>
            </w:r>
          </w:p>
          <w:p>
            <w:pPr>
              <w:pStyle w:val="Normal"/>
              <w:ind w:left="72" w:firstLine="117"/>
              <w:rPr/>
            </w:pPr>
            <w:r>
              <w:rPr>
                <w:sz w:val="20"/>
                <w:szCs w:val="20"/>
              </w:rPr>
              <w:t>Решение</w:t>
            </w:r>
            <w:r>
              <w:rPr>
                <w:sz w:val="20"/>
                <w:szCs w:val="20"/>
                <w:lang w:val="en-US"/>
              </w:rPr>
              <w:t>: Участник электронного аукциона и поданная им заявка СООТВЕТСТВУЕТ требованиям документации об электронном аукционе</w:t>
            </w:r>
          </w:p>
          <w:p>
            <w:pPr>
              <w:pStyle w:val="Normal"/>
              <w:ind w:left="72" w:firstLine="117"/>
              <w:rPr/>
            </w:pPr>
            <w:r>
              <w:rPr>
                <w:sz w:val="20"/>
                <w:szCs w:val="20"/>
              </w:rPr>
              <w:t>Сведения о решении членов аукционной комиссии:</w:t>
            </w:r>
          </w:p>
          <w:p>
            <w:pPr>
              <w:pStyle w:val="Normal"/>
              <w:ind w:left="72" w:firstLine="117"/>
              <w:rPr/>
            </w:pPr>
            <w:r>
              <w:rPr>
                <w:sz w:val="20"/>
                <w:szCs w:val="20"/>
              </w:rPr>
              <w:t>1. Попова Ольга Алексеевна: Участник электронного аукциона и поданная им заявка СООТВЕТСТВУЕТ требованиям документации об электронном аукционе</w:t>
              <w:br/>
              <w:t>2. Тарасова Наталия Владимировна: Участник электронного аукциона и поданная им заявка СООТВЕТСТВУЕТ требованиям документации об электронном аукционе</w:t>
              <w:br/>
              <w:t>3. Татаурова Людмила Николаевна: Участник электронного аукциона и поданная им заявка СООТВЕТСТВУЕТ требованиям документации об электронном аукционе</w:t>
              <w:br/>
              <w:t>4. Полякова Элеонора Аркадьевна: Участник электронного аукциона и поданная им заявка СООТВЕТСТВУЕТ требованиям документации об электронном аукционе</w:t>
            </w:r>
          </w:p>
          <w:p>
            <w:pPr>
              <w:pStyle w:val="Normal"/>
              <w:ind w:left="-45" w:hanging="0"/>
              <w:rPr>
                <w:sz w:val="20"/>
                <w:szCs w:val="20"/>
              </w:rPr>
            </w:pPr>
            <w:r>
              <w:rPr>
                <w:sz w:val="20"/>
                <w:szCs w:val="20"/>
              </w:rPr>
            </w:r>
          </w:p>
        </w:tc>
      </w:tr>
    </w:tbl>
    <w:p>
      <w:pPr>
        <w:pStyle w:val="Normal"/>
        <w:jc w:val="both"/>
        <w:rPr>
          <w:rFonts w:eastAsia="Times New Roman"/>
          <w:sz w:val="20"/>
          <w:szCs w:val="20"/>
          <w:lang w:val="en-US"/>
        </w:rPr>
      </w:pPr>
      <w:r>
        <w:rPr>
          <w:rFonts w:eastAsia="Times New Roman"/>
          <w:sz w:val="20"/>
          <w:szCs w:val="20"/>
          <w:lang w:val="en-US"/>
        </w:rPr>
      </w:r>
    </w:p>
    <w:p>
      <w:pPr>
        <w:pStyle w:val="Normal"/>
        <w:jc w:val="both"/>
        <w:rPr/>
      </w:pPr>
      <w:r>
        <w:rPr>
          <w:rFonts w:eastAsia="Times New Roman"/>
          <w:sz w:val="20"/>
          <w:szCs w:val="20"/>
        </w:rPr>
        <w:t>Победителем аукциона признается ФЕДЕРАЛЬНОЕ ГОСУДАРСТВЕННОЕ БЮДЖЕТНОЕ ОБРАЗОВАТЕЛЬНОЕ УЧРЕЖДЕНИЕ ВЫСШЕГО ОБРАЗОВАНИЯ "НАЦИОНАЛЬНЫЙ ГОСУДАРСТВЕННЫЙ УНИВЕРСИТЕТ ФИЗИЧЕСКОЙ КУЛЬТУРЫ, СПОРТА И ЗДОРОВЬЯ ИМЕНИ П.Ф. ЛЕСГАФТА, САНКТ-ПЕТЕРБУРГ"</w:t>
      </w:r>
    </w:p>
    <w:p>
      <w:pPr>
        <w:pStyle w:val="Normal"/>
        <w:jc w:val="both"/>
        <w:rPr>
          <w:rFonts w:eastAsia="Times New Roman"/>
          <w:sz w:val="20"/>
          <w:szCs w:val="20"/>
          <w:lang w:val="en-US"/>
        </w:rPr>
      </w:pPr>
      <w:r>
        <w:rPr>
          <w:rFonts w:eastAsia="Times New Roman"/>
          <w:sz w:val="20"/>
          <w:szCs w:val="20"/>
          <w:lang w:val="en-US"/>
        </w:rPr>
      </w:r>
    </w:p>
    <w:p>
      <w:pPr>
        <w:pStyle w:val="Normal"/>
        <w:jc w:val="both"/>
        <w:rPr/>
      </w:pPr>
      <w:r>
        <w:rPr>
          <w:rFonts w:eastAsia="Times New Roman"/>
          <w:sz w:val="20"/>
          <w:szCs w:val="20"/>
          <w:lang w:val="en-US"/>
        </w:rPr>
        <w:t>Электронный аукцион признан не состоявшимся в соответствии с частью 13 статьи 69 Федеральный закон от 05.04.2013 № 44-ФЗ «О контрактной системе в сфере закупок товаров, работ, услуг для обеспечения государственных и муниципальных нужд». Причина признания электронного аукциона не состоявшимся: аукционная комиссия приняла решение о соответствии указанным требованиям только одной второй части заявки на участие в электронном аукционе.</w:t>
      </w:r>
    </w:p>
    <w:p>
      <w:pPr>
        <w:pStyle w:val="Normal"/>
        <w:jc w:val="both"/>
        <w:rPr>
          <w:rFonts w:eastAsia="Times New Roman"/>
        </w:rPr>
      </w:pPr>
      <w:bookmarkStart w:id="0" w:name="_GoBack"/>
      <w:bookmarkEnd w:id="0"/>
      <w:r>
        <w:rPr>
          <w:rFonts w:eastAsia="Times New Roman"/>
          <w:sz w:val="20"/>
          <w:szCs w:val="20"/>
        </w:rPr>
        <w:t>Настоящий протокол подлежит размещению в единой информационной системе в сфере закупок в порядке и в сроки, установленные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rPr>
          <w:rFonts w:eastAsia="Times New Roman"/>
          <w:sz w:val="20"/>
          <w:szCs w:val="20"/>
        </w:rPr>
      </w:pPr>
      <w:r>
        <w:rPr>
          <w:rFonts w:eastAsia="Times New Roman"/>
          <w:sz w:val="20"/>
          <w:szCs w:val="20"/>
        </w:rPr>
      </w:r>
    </w:p>
    <w:p>
      <w:pPr>
        <w:pStyle w:val="Normal"/>
        <w:rPr>
          <w:sz w:val="20"/>
          <w:szCs w:val="20"/>
        </w:rPr>
      </w:pPr>
      <w:r>
        <w:rPr>
          <w:rFonts w:eastAsia="Times New Roman"/>
          <w:sz w:val="20"/>
          <w:szCs w:val="20"/>
        </w:rPr>
        <w:t>Настоящий протокол подлежит хранению в течение трех лет.</w:t>
      </w:r>
    </w:p>
    <w:p>
      <w:pPr>
        <w:pStyle w:val="Normal"/>
        <w:rPr>
          <w:rFonts w:eastAsia="Times New Roman"/>
          <w:sz w:val="20"/>
          <w:szCs w:val="20"/>
        </w:rPr>
      </w:pPr>
      <w:r>
        <w:rPr>
          <w:rFonts w:eastAsia="Times New Roman"/>
          <w:sz w:val="20"/>
          <w:szCs w:val="20"/>
        </w:rPr>
      </w:r>
    </w:p>
    <w:p>
      <w:pPr>
        <w:pStyle w:val="Normal"/>
        <w:rPr/>
      </w:pPr>
      <w:r>
        <w:rPr>
          <w:rFonts w:eastAsia="Times New Roman"/>
          <w:sz w:val="20"/>
          <w:szCs w:val="20"/>
          <w:lang w:val="en-US"/>
        </w:rPr>
        <w:t>Подписи</w:t>
      </w:r>
      <w:r>
        <w:rPr>
          <w:rStyle w:val="Style17"/>
          <w:rFonts w:eastAsia="Times New Roman"/>
          <w:sz w:val="20"/>
          <w:szCs w:val="20"/>
          <w:lang w:val="en-US"/>
        </w:rPr>
        <w:t xml:space="preserve"> </w:t>
      </w:r>
      <w:r>
        <w:rPr>
          <w:rStyle w:val="Style17"/>
          <w:rFonts w:eastAsia="Times New Roman"/>
          <w:sz w:val="20"/>
          <w:szCs w:val="20"/>
          <w:lang w:val="en-US"/>
        </w:rPr>
        <w:footnoteReference w:id="2"/>
      </w:r>
    </w:p>
    <w:p>
      <w:pPr>
        <w:pStyle w:val="Normal"/>
        <w:rPr>
          <w:rFonts w:eastAsia="Times New Roman"/>
          <w:sz w:val="20"/>
          <w:szCs w:val="20"/>
          <w:lang w:val="en-US"/>
        </w:rPr>
      </w:pPr>
      <w:r>
        <w:rPr>
          <w:rFonts w:eastAsia="Times New Roman"/>
          <w:sz w:val="20"/>
          <w:szCs w:val="20"/>
          <w:lang w:val="en-US"/>
        </w:rPr>
      </w:r>
    </w:p>
    <w:tbl>
      <w:tblPr>
        <w:tblW w:w="9922" w:type="dxa"/>
        <w:jc w:val="left"/>
        <w:tblInd w:w="0" w:type="dxa"/>
        <w:tblCellMar>
          <w:top w:w="55" w:type="dxa"/>
          <w:left w:w="55" w:type="dxa"/>
          <w:bottom w:w="55" w:type="dxa"/>
          <w:right w:w="55" w:type="dxa"/>
        </w:tblCellMar>
        <w:tblLook w:firstRow="1" w:noVBand="1" w:lastRow="0" w:firstColumn="1" w:lastColumn="0" w:noHBand="0" w:val="04a0"/>
      </w:tblPr>
      <w:tblGrid>
        <w:gridCol w:w="3307"/>
        <w:gridCol w:w="3305"/>
        <w:gridCol w:w="3310"/>
      </w:tblGrid>
      <w:tr>
        <w:trPr/>
        <w:tc>
          <w:tcPr>
            <w:tcW w:w="3307" w:type="dxa"/>
            <w:tcBorders/>
            <w:shd w:fill="auto" w:val="clear"/>
            <w:vAlign w:val="bottom"/>
          </w:tcPr>
          <w:p>
            <w:pPr>
              <w:pStyle w:val="Style30"/>
              <w:rPr/>
            </w:pPr>
            <w:r>
              <w:rPr>
                <w:sz w:val="20"/>
                <w:szCs w:val="20"/>
                <w:lang w:val="en-US"/>
              </w:rPr>
              <w:t>Член комиссии</w:t>
            </w:r>
          </w:p>
        </w:tc>
        <w:tc>
          <w:tcPr>
            <w:tcW w:w="3305" w:type="dxa"/>
            <w:tcBorders/>
            <w:shd w:fill="auto" w:val="clear"/>
          </w:tcPr>
          <w:p>
            <w:pPr>
              <w:pStyle w:val="Style30"/>
              <w:pBdr>
                <w:bottom w:val="single" w:sz="8" w:space="2" w:color="000001"/>
              </w:pBdr>
              <w:rPr>
                <w:sz w:val="20"/>
                <w:szCs w:val="20"/>
                <w:lang w:val="en-US"/>
              </w:rPr>
            </w:pPr>
            <w:r>
              <w:rPr>
                <w:sz w:val="20"/>
                <w:szCs w:val="20"/>
                <w:lang w:val="en-US"/>
              </w:rPr>
            </w:r>
          </w:p>
        </w:tc>
        <w:tc>
          <w:tcPr>
            <w:tcW w:w="3310" w:type="dxa"/>
            <w:tcBorders/>
            <w:shd w:fill="auto" w:val="clear"/>
            <w:vAlign w:val="bottom"/>
          </w:tcPr>
          <w:p>
            <w:pPr>
              <w:pStyle w:val="Style30"/>
              <w:rPr/>
            </w:pPr>
            <w:r>
              <w:rPr>
                <w:sz w:val="20"/>
                <w:szCs w:val="20"/>
                <w:lang w:val="en-US"/>
              </w:rPr>
              <w:t>Попова Ольга Алексеевна</w:t>
            </w:r>
          </w:p>
        </w:tc>
      </w:tr>
      <w:tr>
        <w:trPr/>
        <w:tc>
          <w:tcPr>
            <w:tcW w:w="3307" w:type="dxa"/>
            <w:tcBorders/>
            <w:shd w:fill="auto" w:val="clear"/>
            <w:vAlign w:val="bottom"/>
          </w:tcPr>
          <w:p>
            <w:pPr>
              <w:pStyle w:val="Style30"/>
              <w:rPr/>
            </w:pPr>
            <w:r>
              <w:rPr>
                <w:sz w:val="20"/>
                <w:szCs w:val="20"/>
                <w:lang w:val="en-US"/>
              </w:rPr>
              <w:t>Член комиссии</w:t>
            </w:r>
          </w:p>
        </w:tc>
        <w:tc>
          <w:tcPr>
            <w:tcW w:w="3305" w:type="dxa"/>
            <w:tcBorders/>
            <w:shd w:fill="auto" w:val="clear"/>
          </w:tcPr>
          <w:p>
            <w:pPr>
              <w:pStyle w:val="Style30"/>
              <w:pBdr>
                <w:bottom w:val="single" w:sz="8" w:space="2" w:color="000001"/>
              </w:pBdr>
              <w:rPr>
                <w:sz w:val="20"/>
                <w:szCs w:val="20"/>
                <w:lang w:val="en-US"/>
              </w:rPr>
            </w:pPr>
            <w:r>
              <w:rPr>
                <w:sz w:val="20"/>
                <w:szCs w:val="20"/>
                <w:lang w:val="en-US"/>
              </w:rPr>
            </w:r>
          </w:p>
        </w:tc>
        <w:tc>
          <w:tcPr>
            <w:tcW w:w="3310" w:type="dxa"/>
            <w:tcBorders/>
            <w:shd w:fill="auto" w:val="clear"/>
            <w:vAlign w:val="bottom"/>
          </w:tcPr>
          <w:p>
            <w:pPr>
              <w:pStyle w:val="Style30"/>
              <w:rPr/>
            </w:pPr>
            <w:r>
              <w:rPr>
                <w:sz w:val="20"/>
                <w:szCs w:val="20"/>
                <w:lang w:val="en-US"/>
              </w:rPr>
              <w:t>Тарасова Наталия Владимировна</w:t>
            </w:r>
          </w:p>
        </w:tc>
      </w:tr>
      <w:tr>
        <w:trPr/>
        <w:tc>
          <w:tcPr>
            <w:tcW w:w="3307" w:type="dxa"/>
            <w:tcBorders/>
            <w:shd w:fill="auto" w:val="clear"/>
            <w:vAlign w:val="bottom"/>
          </w:tcPr>
          <w:p>
            <w:pPr>
              <w:pStyle w:val="Style30"/>
              <w:rPr/>
            </w:pPr>
            <w:r>
              <w:rPr>
                <w:sz w:val="20"/>
                <w:szCs w:val="20"/>
                <w:lang w:val="en-US"/>
              </w:rPr>
              <w:t>Член комиссии</w:t>
            </w:r>
          </w:p>
        </w:tc>
        <w:tc>
          <w:tcPr>
            <w:tcW w:w="3305" w:type="dxa"/>
            <w:tcBorders/>
            <w:shd w:fill="auto" w:val="clear"/>
          </w:tcPr>
          <w:p>
            <w:pPr>
              <w:pStyle w:val="Style30"/>
              <w:pBdr>
                <w:bottom w:val="single" w:sz="8" w:space="2" w:color="000001"/>
              </w:pBdr>
              <w:rPr>
                <w:sz w:val="20"/>
                <w:szCs w:val="20"/>
                <w:lang w:val="en-US"/>
              </w:rPr>
            </w:pPr>
            <w:r>
              <w:rPr>
                <w:sz w:val="20"/>
                <w:szCs w:val="20"/>
                <w:lang w:val="en-US"/>
              </w:rPr>
            </w:r>
          </w:p>
        </w:tc>
        <w:tc>
          <w:tcPr>
            <w:tcW w:w="3310" w:type="dxa"/>
            <w:tcBorders/>
            <w:shd w:fill="auto" w:val="clear"/>
            <w:vAlign w:val="bottom"/>
          </w:tcPr>
          <w:p>
            <w:pPr>
              <w:pStyle w:val="Style30"/>
              <w:rPr/>
            </w:pPr>
            <w:r>
              <w:rPr>
                <w:sz w:val="20"/>
                <w:szCs w:val="20"/>
                <w:lang w:val="en-US"/>
              </w:rPr>
              <w:t>Татаурова Людмила Николаевна</w:t>
            </w:r>
          </w:p>
        </w:tc>
      </w:tr>
      <w:tr>
        <w:trPr/>
        <w:tc>
          <w:tcPr>
            <w:tcW w:w="3307" w:type="dxa"/>
            <w:tcBorders/>
            <w:shd w:fill="auto" w:val="clear"/>
            <w:vAlign w:val="bottom"/>
          </w:tcPr>
          <w:p>
            <w:pPr>
              <w:pStyle w:val="Style30"/>
              <w:rPr/>
            </w:pPr>
            <w:r>
              <w:rPr>
                <w:sz w:val="20"/>
                <w:szCs w:val="20"/>
                <w:lang w:val="en-US"/>
              </w:rPr>
              <w:t>Член комиссии</w:t>
            </w:r>
          </w:p>
        </w:tc>
        <w:tc>
          <w:tcPr>
            <w:tcW w:w="3305" w:type="dxa"/>
            <w:tcBorders/>
            <w:shd w:fill="auto" w:val="clear"/>
          </w:tcPr>
          <w:p>
            <w:pPr>
              <w:pStyle w:val="Style30"/>
              <w:pBdr>
                <w:bottom w:val="single" w:sz="8" w:space="2" w:color="000001"/>
              </w:pBdr>
              <w:rPr>
                <w:sz w:val="20"/>
                <w:szCs w:val="20"/>
                <w:lang w:val="en-US"/>
              </w:rPr>
            </w:pPr>
            <w:r>
              <w:rPr>
                <w:sz w:val="20"/>
                <w:szCs w:val="20"/>
                <w:lang w:val="en-US"/>
              </w:rPr>
            </w:r>
          </w:p>
        </w:tc>
        <w:tc>
          <w:tcPr>
            <w:tcW w:w="3310" w:type="dxa"/>
            <w:tcBorders/>
            <w:shd w:fill="auto" w:val="clear"/>
            <w:vAlign w:val="bottom"/>
          </w:tcPr>
          <w:p>
            <w:pPr>
              <w:pStyle w:val="Style30"/>
              <w:rPr/>
            </w:pPr>
            <w:r>
              <w:rPr>
                <w:sz w:val="20"/>
                <w:szCs w:val="20"/>
                <w:lang w:val="en-US"/>
              </w:rPr>
              <w:t>Полякова Элеонора Аркадьевна</w:t>
            </w:r>
          </w:p>
        </w:tc>
      </w:tr>
      <w:tr>
        <w:trPr/>
        <w:tc>
          <w:tcPr>
            <w:tcW w:w="3307" w:type="dxa"/>
            <w:tcBorders/>
            <w:shd w:fill="auto" w:val="clear"/>
            <w:vAlign w:val="bottom"/>
          </w:tcPr>
          <w:p>
            <w:pPr>
              <w:pStyle w:val="Style30"/>
              <w:rPr/>
            </w:pPr>
            <w:r>
              <w:rPr>
                <w:sz w:val="20"/>
                <w:szCs w:val="20"/>
                <w:lang w:val="en-US"/>
              </w:rPr>
              <w:t>Секретарь комиссии (без права голоса)</w:t>
            </w:r>
          </w:p>
        </w:tc>
        <w:tc>
          <w:tcPr>
            <w:tcW w:w="3305" w:type="dxa"/>
            <w:tcBorders/>
            <w:shd w:fill="auto" w:val="clear"/>
          </w:tcPr>
          <w:p>
            <w:pPr>
              <w:pStyle w:val="Style30"/>
              <w:pBdr>
                <w:bottom w:val="single" w:sz="8" w:space="2" w:color="000001"/>
              </w:pBdr>
              <w:rPr>
                <w:sz w:val="20"/>
                <w:szCs w:val="20"/>
                <w:lang w:val="en-US"/>
              </w:rPr>
            </w:pPr>
            <w:r>
              <w:rPr>
                <w:sz w:val="20"/>
                <w:szCs w:val="20"/>
                <w:lang w:val="en-US"/>
              </w:rPr>
            </w:r>
          </w:p>
        </w:tc>
        <w:tc>
          <w:tcPr>
            <w:tcW w:w="3310" w:type="dxa"/>
            <w:tcBorders/>
            <w:shd w:fill="auto" w:val="clear"/>
            <w:vAlign w:val="bottom"/>
          </w:tcPr>
          <w:p>
            <w:pPr>
              <w:pStyle w:val="Style30"/>
              <w:rPr/>
            </w:pPr>
            <w:r>
              <w:rPr>
                <w:sz w:val="20"/>
                <w:szCs w:val="20"/>
                <w:lang w:val="en-US"/>
              </w:rPr>
              <w:t>Шукшева Ольга Михайловна</w:t>
            </w:r>
          </w:p>
        </w:tc>
      </w:tr>
    </w:tbl>
    <w:sectPr>
      <w:footerReference w:type="default" r:id="rId2"/>
      <w:footnotePr>
        <w:numFmt w:val="decimal"/>
      </w:footnotePr>
      <w:type w:val="nextPage"/>
      <w:pgSz w:w="11906" w:h="16838"/>
      <w:pgMar w:left="1418" w:right="566" w:header="0" w:top="1134" w:footer="0"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egoe UI">
    <w:charset w:val="cc"/>
    <w:family w:val="roman"/>
    <w:pitch w:val="variable"/>
  </w:font>
  <w:font w:name="Liberation Sans">
    <w:altName w:val="Arial"/>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both"/>
      <w:rPr>
        <w:sz w:val="18"/>
        <w:szCs w:val="18"/>
        <w:vertAlign w:val="superscript"/>
      </w:rPr>
    </w:pPr>
    <w:r>
      <w:rPr>
        <w:sz w:val="18"/>
        <w:szCs w:val="18"/>
        <w:vertAlign w:val="superscript"/>
      </w:rPr>
    </w:r>
  </w:p>
  <w:p>
    <w:pPr>
      <w:pStyle w:val="Style35"/>
      <w:rPr/>
    </w:pPr>
    <w:r>
      <w:rPr/>
    </w:r>
  </w:p>
  <w:p>
    <w:pPr>
      <w:pStyle w:val="Style35"/>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p>
  </w:footnote>
  <w:footnote w:id="1" w:type="continuationSeparator">
    <w:p>
      <w:r>
        <w:continuationSeparator/>
      </w:r>
    </w:p>
  </w:footnote>
  <w:footnote w:id="2">
    <w:p>
      <w:pPr>
        <w:pStyle w:val="Style32"/>
        <w:rPr/>
      </w:pPr>
      <w:r>
        <w:rPr>
          <w:rStyle w:val="Style18"/>
        </w:rPr>
        <w:footnoteRef/>
      </w:r>
      <w:r>
        <w:rPr>
          <w:rStyle w:val="Style18"/>
        </w:rPr>
        <w:tab/>
        <w:t xml:space="preserve"> </w:t>
      </w:r>
      <w:r>
        <w:rPr>
          <w:sz w:val="16"/>
          <w:szCs w:val="16"/>
        </w:rPr>
        <w:t>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 63-ФЗ «Об электронной подписи»</w:t>
      </w:r>
    </w:p>
  </w:footnote>
</w:footnotes>
</file>

<file path=word/settings.xml><?xml version="1.0" encoding="utf-8"?>
<w:settings xmlns:w="http://schemas.openxmlformats.org/wordprocessingml/2006/main">
  <w:zoom w:percent="110"/>
  <w:defaultTabStop w:val="720"/>
  <w:footnotePr>
    <w:numFmt w:val="decimal"/>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ascii="Times New Roman" w:hAnsi="Times New Roman" w:eastAsia="" w:cs="Times New Roman" w:eastAsiaTheme="minorEastAsia"/>
      <w:color w:val="00000A"/>
      <w:kern w:val="0"/>
      <w:sz w:val="24"/>
      <w:szCs w:val="24"/>
      <w:lang w:val="ru-RU" w:eastAsia="ru-RU"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b171ee"/>
    <w:rPr>
      <w:sz w:val="16"/>
      <w:szCs w:val="16"/>
    </w:rPr>
  </w:style>
  <w:style w:type="character" w:styleId="Style14" w:customStyle="1">
    <w:name w:val="Текст примечания Знак"/>
    <w:basedOn w:val="DefaultParagraphFont"/>
    <w:uiPriority w:val="99"/>
    <w:semiHidden/>
    <w:qFormat/>
    <w:rsid w:val="00b171ee"/>
    <w:rPr>
      <w:rFonts w:eastAsia="" w:eastAsiaTheme="minorEastAsia"/>
    </w:rPr>
  </w:style>
  <w:style w:type="character" w:styleId="Style15" w:customStyle="1">
    <w:name w:val="Тема примечания Знак"/>
    <w:basedOn w:val="Style14"/>
    <w:uiPriority w:val="99"/>
    <w:semiHidden/>
    <w:qFormat/>
    <w:rsid w:val="00b171ee"/>
    <w:rPr>
      <w:rFonts w:eastAsia="" w:eastAsiaTheme="minorEastAsia"/>
      <w:b/>
      <w:bCs/>
    </w:rPr>
  </w:style>
  <w:style w:type="character" w:styleId="Style16" w:customStyle="1">
    <w:name w:val="Текст выноски Знак"/>
    <w:basedOn w:val="DefaultParagraphFont"/>
    <w:uiPriority w:val="99"/>
    <w:semiHidden/>
    <w:qFormat/>
    <w:rsid w:val="00b171ee"/>
    <w:rPr>
      <w:rFonts w:ascii="Segoe UI" w:hAnsi="Segoe UI" w:eastAsia="" w:cs="Segoe UI" w:eastAsiaTheme="minorEastAsia"/>
      <w:sz w:val="18"/>
      <w:szCs w:val="18"/>
    </w:rPr>
  </w:style>
  <w:style w:type="character" w:styleId="Style17" w:customStyle="1">
    <w:name w:val="Привязка сноски"/>
    <w:rPr>
      <w:vertAlign w:val="superscript"/>
    </w:rPr>
  </w:style>
  <w:style w:type="character" w:styleId="FootnoteCharacters" w:customStyle="1">
    <w:name w:val="Footnote Characters"/>
    <w:basedOn w:val="DefaultParagraphFont"/>
    <w:qFormat/>
    <w:rPr>
      <w:vertAlign w:val="superscript"/>
    </w:rPr>
  </w:style>
  <w:style w:type="character" w:styleId="Style18" w:customStyle="1">
    <w:name w:val="Символ сноски"/>
    <w:qFormat/>
    <w:rPr/>
  </w:style>
  <w:style w:type="character" w:styleId="Style19" w:customStyle="1">
    <w:name w:val="Привязка концевой сноски"/>
    <w:rPr>
      <w:vertAlign w:val="superscript"/>
    </w:rPr>
  </w:style>
  <w:style w:type="character" w:styleId="Style20" w:customStyle="1">
    <w:name w:val="Символы концевой сноски"/>
    <w:qFormat/>
    <w:rPr/>
  </w:style>
  <w:style w:type="character" w:styleId="Style21" w:customStyle="1">
    <w:name w:val="Верхний колонтитул Знак"/>
    <w:basedOn w:val="DefaultParagraphFont"/>
    <w:uiPriority w:val="99"/>
    <w:qFormat/>
    <w:rsid w:val="00404ecd"/>
    <w:rPr>
      <w:rFonts w:eastAsia="" w:eastAsiaTheme="minorEastAsia"/>
      <w:color w:val="00000A"/>
      <w:sz w:val="24"/>
      <w:szCs w:val="24"/>
    </w:rPr>
  </w:style>
  <w:style w:type="character" w:styleId="Style22" w:customStyle="1">
    <w:name w:val="Нижний колонтитул Знак"/>
    <w:basedOn w:val="DefaultParagraphFont"/>
    <w:uiPriority w:val="99"/>
    <w:qFormat/>
    <w:rsid w:val="00404ecd"/>
    <w:rPr>
      <w:rFonts w:eastAsia="" w:eastAsiaTheme="minorEastAsia"/>
      <w:color w:val="00000A"/>
      <w:sz w:val="24"/>
      <w:szCs w:val="24"/>
    </w:rPr>
  </w:style>
  <w:style w:type="character" w:styleId="Style23">
    <w:name w:val="Символ концевой сноски"/>
    <w:qFormat/>
    <w:rPr/>
  </w:style>
  <w:style w:type="paragraph" w:styleId="Style24">
    <w:name w:val="Заголовок"/>
    <w:basedOn w:val="Normal"/>
    <w:next w:val="Style25"/>
    <w:qFormat/>
    <w:pPr>
      <w:keepNext w:val="true"/>
      <w:spacing w:before="240" w:after="120"/>
    </w:pPr>
    <w:rPr>
      <w:rFonts w:ascii="Liberation Sans" w:hAnsi="Liberation Sans" w:eastAsia="Noto Sans CJK SC DemiLight" w:cs="Noto Sans Devanagari"/>
      <w:sz w:val="28"/>
      <w:szCs w:val="28"/>
    </w:rPr>
  </w:style>
  <w:style w:type="paragraph" w:styleId="Style25">
    <w:name w:val="Body Text"/>
    <w:basedOn w:val="Normal"/>
    <w:pPr>
      <w:spacing w:lineRule="auto" w:line="288" w:before="0" w:after="140"/>
    </w:pPr>
    <w:rPr/>
  </w:style>
  <w:style w:type="paragraph" w:styleId="Style26">
    <w:name w:val="List"/>
    <w:basedOn w:val="Style25"/>
    <w:pPr/>
    <w:rPr>
      <w:rFonts w:cs="Noto Sans Devanagari"/>
    </w:rPr>
  </w:style>
  <w:style w:type="paragraph" w:styleId="Style27">
    <w:name w:val="Caption"/>
    <w:basedOn w:val="Normal"/>
    <w:qFormat/>
    <w:pPr>
      <w:suppressLineNumbers/>
      <w:spacing w:before="120" w:after="120"/>
    </w:pPr>
    <w:rPr>
      <w:rFonts w:cs="Noto Sans Devanagari"/>
      <w:i/>
      <w:iCs/>
      <w:sz w:val="24"/>
      <w:szCs w:val="24"/>
    </w:rPr>
  </w:style>
  <w:style w:type="paragraph" w:styleId="Style28">
    <w:name w:val="Указатель"/>
    <w:basedOn w:val="Normal"/>
    <w:qFormat/>
    <w:pPr>
      <w:suppressLineNumbers/>
    </w:pPr>
    <w:rPr>
      <w:rFonts w:cs="Noto Sans Devanagari"/>
    </w:rPr>
  </w:style>
  <w:style w:type="paragraph" w:styleId="Style29">
    <w:name w:val="Title"/>
    <w:basedOn w:val="Normal"/>
    <w:qFormat/>
    <w:pPr>
      <w:keepNext w:val="true"/>
      <w:spacing w:before="240" w:after="120"/>
    </w:pPr>
    <w:rPr>
      <w:rFonts w:ascii="Liberation Sans" w:hAnsi="Liberation Sans" w:eastAsia="Noto Sans CJK SC Regular" w:cs="Noto Sans Devanagari"/>
      <w:sz w:val="28"/>
      <w:szCs w:val="28"/>
    </w:rPr>
  </w:style>
  <w:style w:type="paragraph" w:styleId="Caption">
    <w:name w:val="caption"/>
    <w:basedOn w:val="Normal"/>
    <w:qFormat/>
    <w:pPr>
      <w:suppressLineNumbers/>
      <w:spacing w:before="120" w:after="120"/>
    </w:pPr>
    <w:rPr>
      <w:rFonts w:cs="Noto Sans Devanagari"/>
      <w:i/>
      <w:iCs/>
    </w:rPr>
  </w:style>
  <w:style w:type="paragraph" w:styleId="Indexheading">
    <w:name w:val="index heading"/>
    <w:basedOn w:val="Normal"/>
    <w:qFormat/>
    <w:pPr>
      <w:suppressLineNumbers/>
    </w:pPr>
    <w:rPr>
      <w:rFonts w:cs="Noto Sans Devanagari"/>
    </w:rPr>
  </w:style>
  <w:style w:type="paragraph" w:styleId="Dt" w:customStyle="1">
    <w:name w:val="dt"/>
    <w:basedOn w:val="Normal"/>
    <w:qFormat/>
    <w:pPr>
      <w:spacing w:beforeAutospacing="1" w:afterAutospacing="1"/>
    </w:pPr>
    <w:rPr/>
  </w:style>
  <w:style w:type="paragraph" w:styleId="Th" w:customStyle="1">
    <w:name w:val="th"/>
    <w:basedOn w:val="Normal"/>
    <w:qFormat/>
    <w:pPr>
      <w:shd w:val="clear" w:color="auto" w:fill="EEEEEE"/>
      <w:spacing w:beforeAutospacing="1" w:afterAutospacing="1"/>
    </w:pPr>
    <w:rPr/>
  </w:style>
  <w:style w:type="paragraph" w:styleId="Fr" w:customStyle="1">
    <w:name w:val="fr"/>
    <w:basedOn w:val="Normal"/>
    <w:qFormat/>
    <w:pPr>
      <w:spacing w:beforeAutospacing="1" w:afterAutospacing="1"/>
    </w:pPr>
    <w:rPr/>
  </w:style>
  <w:style w:type="paragraph" w:styleId="Headingcenter1" w:customStyle="1">
    <w:name w:val="headingcenter1"/>
    <w:basedOn w:val="Normal"/>
    <w:qFormat/>
    <w:pPr>
      <w:spacing w:beforeAutospacing="1" w:afterAutospacing="1"/>
      <w:jc w:val="center"/>
    </w:pPr>
    <w:rPr>
      <w:b/>
      <w:bCs/>
      <w:sz w:val="28"/>
      <w:szCs w:val="28"/>
    </w:rPr>
  </w:style>
  <w:style w:type="paragraph" w:styleId="Usual1" w:customStyle="1">
    <w:name w:val="usual1"/>
    <w:basedOn w:val="Normal"/>
    <w:qFormat/>
    <w:pPr>
      <w:spacing w:beforeAutospacing="1" w:after="200"/>
    </w:pPr>
    <w:rPr/>
  </w:style>
  <w:style w:type="paragraph" w:styleId="Usual2" w:customStyle="1">
    <w:name w:val="usual2"/>
    <w:basedOn w:val="Normal"/>
    <w:qFormat/>
    <w:pPr>
      <w:spacing w:beforeAutospacing="1" w:after="200"/>
      <w:ind w:left="460" w:hanging="0"/>
    </w:pPr>
    <w:rPr/>
  </w:style>
  <w:style w:type="paragraph" w:styleId="Margleft1" w:customStyle="1">
    <w:name w:val="margleft1"/>
    <w:basedOn w:val="Normal"/>
    <w:qFormat/>
    <w:pPr>
      <w:spacing w:beforeAutospacing="1" w:afterAutospacing="1"/>
    </w:pPr>
    <w:rPr/>
  </w:style>
  <w:style w:type="paragraph" w:styleId="Commissiontable" w:customStyle="1">
    <w:name w:val="commissiontable"/>
    <w:basedOn w:val="Normal"/>
    <w:qFormat/>
    <w:pPr>
      <w:spacing w:beforeAutospacing="1" w:afterAutospacing="1"/>
    </w:pPr>
    <w:rPr/>
  </w:style>
  <w:style w:type="paragraph" w:styleId="Requests" w:customStyle="1">
    <w:name w:val="requests"/>
    <w:basedOn w:val="Normal"/>
    <w:qFormat/>
    <w:pPr>
      <w:spacing w:beforeAutospacing="1" w:afterAutospacing="1"/>
      <w:ind w:left="460" w:hanging="0"/>
    </w:pPr>
    <w:rPr/>
  </w:style>
  <w:style w:type="paragraph" w:styleId="Margtab1" w:customStyle="1">
    <w:name w:val="margtab1"/>
    <w:basedOn w:val="Normal"/>
    <w:qFormat/>
    <w:pPr>
      <w:spacing w:beforeAutospacing="1" w:afterAutospacing="1"/>
      <w:ind w:left="460" w:hanging="0"/>
    </w:pPr>
    <w:rPr/>
  </w:style>
  <w:style w:type="paragraph" w:styleId="Annotationtext">
    <w:name w:val="annotation text"/>
    <w:basedOn w:val="Normal"/>
    <w:uiPriority w:val="99"/>
    <w:semiHidden/>
    <w:unhideWhenUsed/>
    <w:qFormat/>
    <w:rsid w:val="00b171ee"/>
    <w:pPr/>
    <w:rPr>
      <w:sz w:val="20"/>
      <w:szCs w:val="20"/>
    </w:rPr>
  </w:style>
  <w:style w:type="paragraph" w:styleId="Annotationsubject">
    <w:name w:val="annotation subject"/>
    <w:basedOn w:val="Annotationtext"/>
    <w:uiPriority w:val="99"/>
    <w:semiHidden/>
    <w:unhideWhenUsed/>
    <w:qFormat/>
    <w:rsid w:val="00b171ee"/>
    <w:pPr/>
    <w:rPr>
      <w:b/>
      <w:bCs/>
    </w:rPr>
  </w:style>
  <w:style w:type="paragraph" w:styleId="BalloonText">
    <w:name w:val="Balloon Text"/>
    <w:basedOn w:val="Normal"/>
    <w:uiPriority w:val="99"/>
    <w:semiHidden/>
    <w:unhideWhenUsed/>
    <w:qFormat/>
    <w:rsid w:val="00b171ee"/>
    <w:pPr/>
    <w:rPr>
      <w:rFonts w:ascii="Segoe UI" w:hAnsi="Segoe UI" w:cs="Segoe UI"/>
      <w:sz w:val="18"/>
      <w:szCs w:val="18"/>
    </w:rPr>
  </w:style>
  <w:style w:type="paragraph" w:styleId="NormalWeb">
    <w:name w:val="Normal (Web)"/>
    <w:basedOn w:val="Normal"/>
    <w:uiPriority w:val="99"/>
    <w:unhideWhenUsed/>
    <w:qFormat/>
    <w:rsid w:val="00c6449d"/>
    <w:pPr>
      <w:spacing w:beforeAutospacing="1" w:afterAutospacing="1"/>
    </w:pPr>
    <w:rPr>
      <w:rFonts w:eastAsia="Times New Roman"/>
    </w:rPr>
  </w:style>
  <w:style w:type="paragraph" w:styleId="Style30" w:customStyle="1">
    <w:name w:val="Содержимое таблицы"/>
    <w:basedOn w:val="Normal"/>
    <w:qFormat/>
    <w:pPr/>
    <w:rPr/>
  </w:style>
  <w:style w:type="paragraph" w:styleId="Style31" w:customStyle="1">
    <w:name w:val="Заголовок таблицы"/>
    <w:basedOn w:val="Style30"/>
    <w:qFormat/>
    <w:pPr/>
    <w:rPr/>
  </w:style>
  <w:style w:type="paragraph" w:styleId="Style32">
    <w:name w:val="Footnote Text"/>
    <w:basedOn w:val="Normal"/>
    <w:qFormat/>
    <w:pPr>
      <w:pBdr>
        <w:top w:val="single" w:sz="2" w:space="1" w:color="000001"/>
      </w:pBdr>
    </w:pPr>
    <w:rPr>
      <w:sz w:val="20"/>
      <w:szCs w:val="20"/>
    </w:rPr>
  </w:style>
  <w:style w:type="paragraph" w:styleId="Style33">
    <w:name w:val="Верхний и нижний колонтитулы"/>
    <w:basedOn w:val="Normal"/>
    <w:qFormat/>
    <w:pPr/>
    <w:rPr/>
  </w:style>
  <w:style w:type="paragraph" w:styleId="Style34">
    <w:name w:val="Header"/>
    <w:basedOn w:val="Normal"/>
    <w:uiPriority w:val="99"/>
    <w:unhideWhenUsed/>
    <w:rsid w:val="00404ecd"/>
    <w:pPr>
      <w:tabs>
        <w:tab w:val="clear" w:pos="720"/>
        <w:tab w:val="center" w:pos="4677" w:leader="none"/>
        <w:tab w:val="right" w:pos="9355" w:leader="none"/>
      </w:tabs>
    </w:pPr>
    <w:rPr/>
  </w:style>
  <w:style w:type="paragraph" w:styleId="Style35">
    <w:name w:val="Footer"/>
    <w:basedOn w:val="Normal"/>
    <w:uiPriority w:val="99"/>
    <w:unhideWhenUsed/>
    <w:rsid w:val="00404ecd"/>
    <w:pPr>
      <w:tabs>
        <w:tab w:val="clear" w:pos="720"/>
        <w:tab w:val="center" w:pos="4677" w:leader="none"/>
        <w:tab w:val="right" w:pos="9355"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notes" Target="footnotes.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Application>LibreOffice/6.3.1.2$Windows_x86 LibreOffice_project/b79626edf0065ac373bd1df5c28bd630b4424273</Application>
  <Pages>2</Pages>
  <Words>207</Words>
  <Characters>2077</Characters>
  <CharactersWithSpaces>2237</CharactersWithSpaces>
  <Paragraphs>53</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2019-08-30T06:11:00Z</dcterms:created>
  <dc:creator>Ларий Дарья Григорьевна</dc:creator>
  <dc:description/>
  <dc:language>ru-RU</dc:language>
  <cp:lastModifiedBy/>
  <dcterms:modified xsi:type="dcterms:W3CDTF">2019-11-07T16:18:06Z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