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2C4B" w:rsidRDefault="0050770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12C4B" w:rsidRDefault="0050770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"благоустройство территорий по адресам: г. Севастополь, пр-т Победы, д. 56, пр-т Победы, д. 50, 56"</w:t>
      </w:r>
    </w:p>
    <w:p w:rsidR="00112C4B" w:rsidRPr="001D5991" w:rsidRDefault="0050770A">
      <w:pPr>
        <w:ind w:firstLine="567"/>
        <w:jc w:val="center"/>
        <w:rPr>
          <w:rFonts w:eastAsia="Times New Roman"/>
          <w:b/>
          <w:bCs/>
        </w:rPr>
      </w:pPr>
      <w:r w:rsidRPr="001D599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D5991">
        <w:rPr>
          <w:rFonts w:eastAsia="Times New Roman"/>
          <w:b/>
          <w:bCs/>
          <w:sz w:val="20"/>
          <w:szCs w:val="20"/>
        </w:rPr>
        <w:t xml:space="preserve"> 0574500001620000013) </w:t>
      </w:r>
    </w:p>
    <w:p w:rsidR="00112C4B" w:rsidRPr="001D5991" w:rsidRDefault="00112C4B">
      <w:pPr>
        <w:ind w:firstLine="567"/>
        <w:jc w:val="center"/>
        <w:rPr>
          <w:sz w:val="20"/>
          <w:szCs w:val="20"/>
        </w:rPr>
      </w:pPr>
    </w:p>
    <w:p w:rsidR="00112C4B" w:rsidRPr="001D5991" w:rsidRDefault="0050770A">
      <w:pPr>
        <w:ind w:firstLine="567"/>
        <w:jc w:val="right"/>
      </w:pPr>
      <w:r w:rsidRPr="001D5991">
        <w:rPr>
          <w:rFonts w:eastAsia="Times New Roman"/>
          <w:sz w:val="20"/>
          <w:szCs w:val="20"/>
        </w:rPr>
        <w:t>16.11.20 15:41:57 (</w:t>
      </w:r>
      <w:r>
        <w:rPr>
          <w:rFonts w:eastAsia="Times New Roman"/>
          <w:sz w:val="20"/>
          <w:szCs w:val="20"/>
          <w:lang w:val="en-US"/>
        </w:rPr>
        <w:t>MSK</w:t>
      </w:r>
      <w:r w:rsidRPr="001D5991">
        <w:rPr>
          <w:rFonts w:eastAsia="Times New Roman"/>
          <w:sz w:val="20"/>
          <w:szCs w:val="20"/>
        </w:rPr>
        <w:t>+00:00)</w:t>
      </w:r>
    </w:p>
    <w:p w:rsidR="00112C4B" w:rsidRPr="001D5991" w:rsidRDefault="00112C4B">
      <w:pPr>
        <w:ind w:firstLine="567"/>
        <w:rPr>
          <w:rFonts w:eastAsia="Times New Roman"/>
          <w:sz w:val="20"/>
          <w:szCs w:val="20"/>
        </w:rPr>
      </w:pPr>
    </w:p>
    <w:p w:rsidR="00112C4B" w:rsidRPr="001D5991" w:rsidRDefault="0050770A">
      <w:r>
        <w:rPr>
          <w:rFonts w:eastAsia="Times New Roman"/>
          <w:sz w:val="20"/>
          <w:szCs w:val="20"/>
        </w:rPr>
        <w:t>Место</w:t>
      </w:r>
      <w:r w:rsidRPr="001D599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D5991">
        <w:rPr>
          <w:rFonts w:eastAsia="Times New Roman"/>
          <w:sz w:val="20"/>
          <w:szCs w:val="20"/>
        </w:rPr>
        <w:t xml:space="preserve">: 299023, Севастополь </w:t>
      </w:r>
      <w:r w:rsidRPr="001D5991">
        <w:rPr>
          <w:rFonts w:eastAsia="Times New Roman"/>
          <w:sz w:val="20"/>
          <w:szCs w:val="20"/>
        </w:rPr>
        <w:t>Город, Генерала Мельника Улица, дом 1А</w:t>
      </w:r>
    </w:p>
    <w:p w:rsidR="00112C4B" w:rsidRPr="001D5991" w:rsidRDefault="00112C4B">
      <w:pPr>
        <w:rPr>
          <w:rFonts w:eastAsia="Times New Roman"/>
          <w:sz w:val="20"/>
          <w:szCs w:val="20"/>
        </w:rPr>
      </w:pPr>
    </w:p>
    <w:p w:rsidR="00112C4B" w:rsidRPr="001D5991" w:rsidRDefault="0050770A">
      <w:r>
        <w:rPr>
          <w:rFonts w:eastAsia="Times New Roman"/>
          <w:sz w:val="20"/>
          <w:szCs w:val="20"/>
        </w:rPr>
        <w:t>Организатор</w:t>
      </w:r>
      <w:r w:rsidRPr="001D599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D5991">
        <w:rPr>
          <w:rFonts w:eastAsia="Times New Roman"/>
          <w:sz w:val="20"/>
          <w:szCs w:val="20"/>
        </w:rPr>
        <w:t>: ГОСУДАРСТВЕННОЕ УНИТАРНОЕ ПРЕДПРИЯТИЕ ГОРОДА СЕВАСТОПОЛЯ "УПРАВЛЯЮЩАЯ КОМПАНИЯ НАХИМОВСКОГО РАЙОНА"</w:t>
      </w:r>
    </w:p>
    <w:p w:rsidR="00112C4B" w:rsidRPr="001D5991" w:rsidRDefault="00112C4B">
      <w:pPr>
        <w:rPr>
          <w:rFonts w:eastAsia="Times New Roman"/>
          <w:sz w:val="20"/>
          <w:szCs w:val="20"/>
        </w:rPr>
      </w:pPr>
    </w:p>
    <w:p w:rsidR="00112C4B" w:rsidRPr="001D5991" w:rsidRDefault="0050770A">
      <w:r w:rsidRPr="001D5991">
        <w:rPr>
          <w:rFonts w:eastAsia="Times New Roman"/>
          <w:sz w:val="20"/>
          <w:szCs w:val="20"/>
        </w:rPr>
        <w:t>Заказчик: ГОСУДАРСТВЕННОЕ УНИТАРНОЕ ПРЕДПРИЯТИЕ ГОРОДА СЕВАСТОПОЛЯ "УПРАВЛЯЮЩАЯ КОМПАНИЯ НАХИ</w:t>
      </w:r>
      <w:r w:rsidRPr="001D5991">
        <w:rPr>
          <w:rFonts w:eastAsia="Times New Roman"/>
          <w:sz w:val="20"/>
          <w:szCs w:val="20"/>
        </w:rPr>
        <w:t>МОВСКОГО РАЙОНА"</w:t>
      </w:r>
    </w:p>
    <w:p w:rsidR="00112C4B" w:rsidRPr="001D5991" w:rsidRDefault="00112C4B">
      <w:pPr>
        <w:rPr>
          <w:rFonts w:eastAsia="Times New Roman"/>
          <w:sz w:val="20"/>
          <w:szCs w:val="20"/>
        </w:rPr>
      </w:pPr>
    </w:p>
    <w:p w:rsidR="00112C4B" w:rsidRPr="001D5991" w:rsidRDefault="0050770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D599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D5991">
        <w:rPr>
          <w:rFonts w:eastAsia="Times New Roman"/>
          <w:sz w:val="20"/>
          <w:szCs w:val="20"/>
        </w:rPr>
        <w:t xml:space="preserve">: благоустройство территорий по адресам: г. Севастополь, пр-т Победы, д. 56, пр-т Победы, д. 50, 56 </w:t>
      </w:r>
    </w:p>
    <w:p w:rsidR="00112C4B" w:rsidRPr="001D5991" w:rsidRDefault="00112C4B">
      <w:pPr>
        <w:rPr>
          <w:rFonts w:eastAsia="Times New Roman"/>
          <w:sz w:val="20"/>
          <w:szCs w:val="20"/>
        </w:rPr>
      </w:pPr>
    </w:p>
    <w:p w:rsidR="00112C4B" w:rsidRDefault="0050770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202920353573892030100100180014399000</w:t>
      </w:r>
    </w:p>
    <w:p w:rsidR="00112C4B" w:rsidRDefault="00112C4B"/>
    <w:p w:rsidR="00112C4B" w:rsidRDefault="0050770A">
      <w:r>
        <w:rPr>
          <w:rFonts w:eastAsia="Times New Roman"/>
          <w:sz w:val="20"/>
          <w:szCs w:val="20"/>
        </w:rPr>
        <w:t>Начальная (максимальная) цена контракта/Максима</w:t>
      </w:r>
      <w:r>
        <w:rPr>
          <w:rFonts w:eastAsia="Times New Roman"/>
          <w:sz w:val="20"/>
          <w:szCs w:val="20"/>
        </w:rPr>
        <w:t>льное значение цены контракта: 4 333 443,00 руб.</w:t>
      </w:r>
    </w:p>
    <w:p w:rsidR="00112C4B" w:rsidRPr="001D5991" w:rsidRDefault="00112C4B">
      <w:pPr>
        <w:rPr>
          <w:rFonts w:eastAsia="Times New Roman"/>
          <w:sz w:val="20"/>
          <w:szCs w:val="20"/>
        </w:rPr>
      </w:pPr>
    </w:p>
    <w:p w:rsidR="00112C4B" w:rsidRPr="001D5991" w:rsidRDefault="0050770A">
      <w:r>
        <w:rPr>
          <w:rFonts w:eastAsia="Times New Roman"/>
          <w:sz w:val="20"/>
          <w:szCs w:val="20"/>
        </w:rPr>
        <w:t>Снижение</w:t>
      </w:r>
      <w:r w:rsidRPr="001D599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D5991">
        <w:rPr>
          <w:rFonts w:eastAsia="Times New Roman"/>
          <w:sz w:val="20"/>
          <w:szCs w:val="20"/>
        </w:rPr>
        <w:t>, %: 0.50</w:t>
      </w:r>
    </w:p>
    <w:p w:rsidR="00112C4B" w:rsidRPr="001D5991" w:rsidRDefault="00112C4B">
      <w:pPr>
        <w:rPr>
          <w:rFonts w:eastAsia="Times New Roman"/>
          <w:sz w:val="20"/>
          <w:szCs w:val="20"/>
        </w:rPr>
      </w:pPr>
    </w:p>
    <w:p w:rsidR="00112C4B" w:rsidRDefault="0050770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1D5991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112C4B">
        <w:tc>
          <w:tcPr>
            <w:tcW w:w="4960" w:type="dxa"/>
            <w:shd w:val="clear" w:color="auto" w:fill="auto"/>
          </w:tcPr>
          <w:p w:rsidR="00112C4B" w:rsidRDefault="0050770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12C4B" w:rsidRDefault="005077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112C4B">
        <w:tc>
          <w:tcPr>
            <w:tcW w:w="4960" w:type="dxa"/>
            <w:shd w:val="clear" w:color="auto" w:fill="auto"/>
          </w:tcPr>
          <w:p w:rsidR="00112C4B" w:rsidRDefault="0050770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12C4B" w:rsidRDefault="005077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12C4B">
        <w:tc>
          <w:tcPr>
            <w:tcW w:w="4960" w:type="dxa"/>
            <w:shd w:val="clear" w:color="auto" w:fill="auto"/>
          </w:tcPr>
          <w:p w:rsidR="00112C4B" w:rsidRDefault="0050770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12C4B" w:rsidRDefault="005077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Стефаненко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112C4B">
        <w:tc>
          <w:tcPr>
            <w:tcW w:w="4960" w:type="dxa"/>
            <w:shd w:val="clear" w:color="auto" w:fill="auto"/>
          </w:tcPr>
          <w:p w:rsidR="00112C4B" w:rsidRDefault="0050770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12C4B" w:rsidRDefault="005077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Ведер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112C4B">
        <w:tc>
          <w:tcPr>
            <w:tcW w:w="4960" w:type="dxa"/>
            <w:shd w:val="clear" w:color="auto" w:fill="auto"/>
          </w:tcPr>
          <w:p w:rsidR="00112C4B" w:rsidRDefault="0050770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12C4B" w:rsidRDefault="005077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Дикан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</w:tbl>
    <w:p w:rsidR="00112C4B" w:rsidRDefault="00112C4B">
      <w:pPr>
        <w:rPr>
          <w:rFonts w:eastAsia="Times New Roman"/>
          <w:sz w:val="20"/>
          <w:szCs w:val="20"/>
        </w:rPr>
      </w:pPr>
    </w:p>
    <w:p w:rsidR="00112C4B" w:rsidRDefault="001D599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единой</w:t>
      </w:r>
      <w:r w:rsidR="0050770A"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112C4B">
        <w:tc>
          <w:tcPr>
            <w:tcW w:w="4960" w:type="dxa"/>
            <w:shd w:val="clear" w:color="auto" w:fill="auto"/>
          </w:tcPr>
          <w:p w:rsidR="00112C4B" w:rsidRDefault="005077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12C4B" w:rsidRDefault="005077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112C4B">
        <w:tc>
          <w:tcPr>
            <w:tcW w:w="4960" w:type="dxa"/>
            <w:shd w:val="clear" w:color="auto" w:fill="auto"/>
          </w:tcPr>
          <w:p w:rsidR="00112C4B" w:rsidRDefault="005077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12C4B" w:rsidRDefault="005077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12C4B">
        <w:tc>
          <w:tcPr>
            <w:tcW w:w="4960" w:type="dxa"/>
            <w:shd w:val="clear" w:color="auto" w:fill="auto"/>
          </w:tcPr>
          <w:p w:rsidR="00112C4B" w:rsidRDefault="005077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12C4B" w:rsidRDefault="005077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Ведер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</w:tbl>
    <w:p w:rsidR="00112C4B" w:rsidRDefault="00112C4B">
      <w:pPr>
        <w:rPr>
          <w:rFonts w:eastAsia="Times New Roman"/>
          <w:sz w:val="20"/>
          <w:szCs w:val="20"/>
        </w:rPr>
      </w:pPr>
    </w:p>
    <w:p w:rsidR="00112C4B" w:rsidRDefault="0050770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12C4B" w:rsidRDefault="00112C4B">
      <w:pPr>
        <w:rPr>
          <w:rFonts w:eastAsia="Times New Roman"/>
          <w:sz w:val="20"/>
          <w:szCs w:val="20"/>
        </w:rPr>
      </w:pPr>
    </w:p>
    <w:p w:rsidR="00112C4B" w:rsidRDefault="001D599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Единой </w:t>
      </w:r>
      <w:r w:rsidR="0050770A"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</w:t>
      </w:r>
      <w:r w:rsidR="0050770A">
        <w:rPr>
          <w:rFonts w:eastAsia="Times New Roman"/>
          <w:sz w:val="20"/>
          <w:szCs w:val="20"/>
        </w:rPr>
        <w:t>льного закона №44-ФЗ.</w:t>
      </w:r>
    </w:p>
    <w:p w:rsidR="00112C4B" w:rsidRDefault="00112C4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2220"/>
        <w:gridCol w:w="1283"/>
        <w:gridCol w:w="1276"/>
        <w:gridCol w:w="3314"/>
      </w:tblGrid>
      <w:tr w:rsidR="00112C4B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112C4B" w:rsidRDefault="0050770A" w:rsidP="001D599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1D5991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112C4B" w:rsidTr="00390F7A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2C4B" w:rsidRDefault="0050770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2C4B" w:rsidRDefault="0050770A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2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2C4B" w:rsidRDefault="0050770A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2C4B" w:rsidRDefault="0050770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3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2C4B" w:rsidRDefault="0050770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12C4B" w:rsidTr="00390F7A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2C4B" w:rsidRDefault="0050770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EA-63177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2C4B" w:rsidRPr="001D5991" w:rsidRDefault="0050770A">
            <w:pPr>
              <w:rPr>
                <w:sz w:val="20"/>
                <w:szCs w:val="20"/>
              </w:rPr>
            </w:pPr>
            <w:r w:rsidRPr="001D5991">
              <w:rPr>
                <w:sz w:val="20"/>
                <w:szCs w:val="20"/>
              </w:rPr>
              <w:t xml:space="preserve">ОБЩЕСТВО С ОГРАНИЧЕННОЙ </w:t>
            </w:r>
            <w:r w:rsidRPr="001D5991">
              <w:rPr>
                <w:sz w:val="20"/>
                <w:szCs w:val="20"/>
              </w:rPr>
              <w:t>ОТВЕТСТВЕННОСТЬЮ "ЛУКМАН-ЛЕС" / 1635010282</w:t>
            </w:r>
          </w:p>
        </w:tc>
        <w:tc>
          <w:tcPr>
            <w:tcW w:w="12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2C4B" w:rsidRDefault="005077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4 311 775,78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2C4B" w:rsidRDefault="005077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3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991" w:rsidRDefault="0050770A">
            <w:pPr>
              <w:pStyle w:val="af0"/>
              <w:rPr>
                <w:sz w:val="20"/>
                <w:szCs w:val="20"/>
              </w:rPr>
            </w:pPr>
            <w:r w:rsidRPr="001D5991">
              <w:rPr>
                <w:sz w:val="20"/>
                <w:szCs w:val="20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</w:t>
            </w:r>
            <w:r w:rsidRPr="001D5991">
              <w:rPr>
                <w:sz w:val="20"/>
                <w:szCs w:val="20"/>
              </w:rPr>
              <w:t xml:space="preserve">формации требованиям, установленным документацией об аукционе, наличие в указанных документах недостоверной информации об </w:t>
            </w:r>
            <w:r w:rsidRPr="001D5991">
              <w:rPr>
                <w:sz w:val="20"/>
                <w:szCs w:val="20"/>
              </w:rPr>
              <w:lastRenderedPageBreak/>
              <w:t>участнике аукциона на дату и время окончания срока подачи заявок на участие в аукционе</w:t>
            </w:r>
            <w:r w:rsidRPr="001D5991">
              <w:rPr>
                <w:sz w:val="20"/>
                <w:szCs w:val="20"/>
              </w:rPr>
              <w:br/>
            </w:r>
            <w:r w:rsidRPr="001D5991">
              <w:rPr>
                <w:sz w:val="20"/>
                <w:szCs w:val="20"/>
              </w:rPr>
              <w:br/>
              <w:t>Не соответствие документов и не предоставление</w:t>
            </w:r>
            <w:r w:rsidRPr="001D5991">
              <w:rPr>
                <w:sz w:val="20"/>
                <w:szCs w:val="20"/>
              </w:rPr>
              <w:t xml:space="preserve"> информации согласно ч. 3 ст. 66 Федерального закона 44-ФЗ:</w:t>
            </w:r>
          </w:p>
          <w:p w:rsidR="001D5991" w:rsidRDefault="0050770A">
            <w:pPr>
              <w:pStyle w:val="af0"/>
              <w:rPr>
                <w:sz w:val="20"/>
                <w:szCs w:val="20"/>
              </w:rPr>
            </w:pPr>
            <w:r w:rsidRPr="001D5991">
              <w:rPr>
                <w:sz w:val="20"/>
                <w:szCs w:val="20"/>
              </w:rPr>
              <w:t xml:space="preserve"> -в отношении детского игрового </w:t>
            </w:r>
            <w:proofErr w:type="gramStart"/>
            <w:r w:rsidRPr="001D5991">
              <w:rPr>
                <w:sz w:val="20"/>
                <w:szCs w:val="20"/>
              </w:rPr>
              <w:t>комплекса  -</w:t>
            </w:r>
            <w:proofErr w:type="gramEnd"/>
            <w:r w:rsidRPr="001D5991">
              <w:rPr>
                <w:sz w:val="20"/>
                <w:szCs w:val="20"/>
              </w:rPr>
              <w:t xml:space="preserve"> участником указано «стойка, не менее шт.»,  «площадкам 900м, не менее, шт.», «лаз-труба, не менее, шт.», «лаз круговой (наклонный), не менее, шт.». В иг</w:t>
            </w:r>
            <w:r w:rsidRPr="001D5991">
              <w:rPr>
                <w:sz w:val="20"/>
                <w:szCs w:val="20"/>
              </w:rPr>
              <w:t xml:space="preserve">ровом комплексе участником указано </w:t>
            </w:r>
            <w:proofErr w:type="gramStart"/>
            <w:r w:rsidRPr="001D5991">
              <w:rPr>
                <w:sz w:val="20"/>
                <w:szCs w:val="20"/>
              </w:rPr>
              <w:t>в  отношении</w:t>
            </w:r>
            <w:proofErr w:type="gramEnd"/>
            <w:r w:rsidRPr="001D5991">
              <w:rPr>
                <w:sz w:val="20"/>
                <w:szCs w:val="20"/>
              </w:rPr>
              <w:t xml:space="preserve"> горки – «Габаритные размеры ската должны быть не менее 500*1927*1173 мм». В отношении детского игрового комплекса (раздел игровой модуль малый – уголок тупоугольный 430) участником в предложении указано «Посл</w:t>
            </w:r>
            <w:r w:rsidRPr="001D5991">
              <w:rPr>
                <w:sz w:val="20"/>
                <w:szCs w:val="20"/>
              </w:rPr>
              <w:t>е гибки уголок имеет габариты 430 х50х50 мм (полки уголка не менее 50 мм).». В соответствии с п. п.7.6.  п. 23 документации о закупке – «при указании конкретных показателей товаров, использование слов (словосочетаний, предлогов, союзов, знаков): «более», «</w:t>
            </w:r>
            <w:r w:rsidRPr="001D5991">
              <w:rPr>
                <w:sz w:val="20"/>
                <w:szCs w:val="20"/>
              </w:rPr>
              <w:t>не более», «не менее», «менее», «выше», «не выше», «свыше», «св.», «ниже», «не ниже», «от», «до», «или», «либо», «уже», «не уже», «от … до…», «шире», «не шире», знак «-», «±», «≥</w:t>
            </w:r>
            <w:proofErr w:type="gramStart"/>
            <w:r w:rsidRPr="001D5991">
              <w:rPr>
                <w:sz w:val="20"/>
                <w:szCs w:val="20"/>
              </w:rPr>
              <w:t>»,«</w:t>
            </w:r>
            <w:proofErr w:type="gramEnd"/>
            <w:r w:rsidRPr="001D5991">
              <w:rPr>
                <w:sz w:val="20"/>
                <w:szCs w:val="20"/>
              </w:rPr>
              <w:t>не должен (не должна) быть ≥», «&lt;», «≤», «не должен (не должна) быть ≤», «&gt;</w:t>
            </w:r>
            <w:r w:rsidRPr="001D5991">
              <w:rPr>
                <w:sz w:val="20"/>
                <w:szCs w:val="20"/>
              </w:rPr>
              <w:t xml:space="preserve">», «не должен   превышать», «должен превышать» и т.п. не допускается.». В связи с чем, предложение в вышеуказанной части участником не соответствует требованиям документации и носит характер отсутствия конкретного предложения. </w:t>
            </w:r>
          </w:p>
          <w:p w:rsidR="001D5991" w:rsidRDefault="0050770A">
            <w:pPr>
              <w:pStyle w:val="af0"/>
              <w:rPr>
                <w:sz w:val="20"/>
                <w:szCs w:val="20"/>
              </w:rPr>
            </w:pPr>
            <w:r w:rsidRPr="001D5991">
              <w:rPr>
                <w:sz w:val="20"/>
                <w:szCs w:val="20"/>
              </w:rPr>
              <w:t xml:space="preserve">- в соответствии с п. п.7.7. </w:t>
            </w:r>
            <w:r w:rsidRPr="001D5991">
              <w:rPr>
                <w:sz w:val="20"/>
                <w:szCs w:val="20"/>
              </w:rPr>
              <w:t>п. 23 документации о закупке определено: «Слова (словосочетания) «должен (должна, должно, должны)», «должен (должна, должно, должны) быть», «не должен (должна, должно, должны)», «не должен (должна, должно, должны) быть» при описании товаров (материалов) не</w:t>
            </w:r>
            <w:r w:rsidRPr="001D5991">
              <w:rPr>
                <w:sz w:val="20"/>
                <w:szCs w:val="20"/>
              </w:rPr>
              <w:t xml:space="preserve"> допускается и расценивается как не предоставление конкретных показателей.». Участником в предложении указано в отношении спортивного оборудования – «лаз должен состоять из следующих элементов». В игровом комплексе участником указано </w:t>
            </w:r>
            <w:proofErr w:type="gramStart"/>
            <w:r w:rsidRPr="001D5991">
              <w:rPr>
                <w:sz w:val="20"/>
                <w:szCs w:val="20"/>
              </w:rPr>
              <w:t>в  отношении</w:t>
            </w:r>
            <w:proofErr w:type="gramEnd"/>
            <w:r w:rsidRPr="001D5991">
              <w:rPr>
                <w:sz w:val="20"/>
                <w:szCs w:val="20"/>
              </w:rPr>
              <w:t xml:space="preserve"> горки – «</w:t>
            </w:r>
            <w:r w:rsidRPr="001D5991">
              <w:rPr>
                <w:sz w:val="20"/>
                <w:szCs w:val="20"/>
              </w:rPr>
              <w:t xml:space="preserve">Габаритные </w:t>
            </w:r>
            <w:r w:rsidRPr="001D5991">
              <w:rPr>
                <w:sz w:val="20"/>
                <w:szCs w:val="20"/>
              </w:rPr>
              <w:lastRenderedPageBreak/>
              <w:t>размеры ската должны быть не менее 500*1927*1173 мм», ;в отношении лаза – «К каждому поручню лаза приварены по три поручня, изготовленных из металлической трубы размерами 20*2,8 мм длиной 925 мм, которая должна быть согнута в виде буквы «П» с ра</w:t>
            </w:r>
            <w:r w:rsidRPr="001D5991">
              <w:rPr>
                <w:sz w:val="20"/>
                <w:szCs w:val="20"/>
              </w:rPr>
              <w:t xml:space="preserve">диусами </w:t>
            </w:r>
            <w:proofErr w:type="spellStart"/>
            <w:r w:rsidRPr="001D5991">
              <w:rPr>
                <w:sz w:val="20"/>
                <w:szCs w:val="20"/>
              </w:rPr>
              <w:t>гиба</w:t>
            </w:r>
            <w:proofErr w:type="spellEnd"/>
            <w:r w:rsidRPr="001D5991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  <w:lang w:val="en-US"/>
              </w:rPr>
              <w:t>r</w:t>
            </w:r>
            <w:r w:rsidRPr="001D5991">
              <w:rPr>
                <w:sz w:val="20"/>
                <w:szCs w:val="20"/>
              </w:rPr>
              <w:t>=50 мм.».  В отношении карусели участником в предложении указано – «Все крепежные элементы должны быть оцинкованы.». Таким образом, участником не предоставлены конкретные показатели оборудования, что не соответствует требованиям документации</w:t>
            </w:r>
            <w:r w:rsidRPr="001D5991">
              <w:rPr>
                <w:sz w:val="20"/>
                <w:szCs w:val="20"/>
              </w:rPr>
              <w:t xml:space="preserve"> о закупке.</w:t>
            </w:r>
          </w:p>
          <w:p w:rsidR="001D5991" w:rsidRDefault="0050770A">
            <w:pPr>
              <w:pStyle w:val="af0"/>
              <w:rPr>
                <w:sz w:val="20"/>
                <w:szCs w:val="20"/>
              </w:rPr>
            </w:pPr>
            <w:r w:rsidRPr="001D5991">
              <w:rPr>
                <w:sz w:val="20"/>
                <w:szCs w:val="20"/>
              </w:rPr>
              <w:t xml:space="preserve"> - участником в предложении не указаны единицы измерения, что не дает возможности для их сопоставления с проектно-сметной документацией. Ввиду изложенного, участником не предоставлены конкретные показатели товара с указанием единицы измерения, ч</w:t>
            </w:r>
            <w:r w:rsidRPr="001D5991">
              <w:rPr>
                <w:sz w:val="20"/>
                <w:szCs w:val="20"/>
              </w:rPr>
              <w:t>то не соответствует документации о закупке, проектно-сметной документации. Участником в разделе «детский игровой комплекс – ограждение 1» указано «К трубе приварены два ушка с отверстием, через которое крепится фанерное ограждение, изготовленное из водосто</w:t>
            </w:r>
            <w:r w:rsidRPr="001D5991">
              <w:rPr>
                <w:sz w:val="20"/>
                <w:szCs w:val="20"/>
              </w:rPr>
              <w:t xml:space="preserve">йкой фанеры толщиной 15 мм </w:t>
            </w:r>
            <w:proofErr w:type="gramStart"/>
            <w:r w:rsidRPr="001D5991">
              <w:rPr>
                <w:sz w:val="20"/>
                <w:szCs w:val="20"/>
              </w:rPr>
              <w:t>размером  680</w:t>
            </w:r>
            <w:proofErr w:type="gramEnd"/>
            <w:r w:rsidRPr="001D5991">
              <w:rPr>
                <w:sz w:val="20"/>
                <w:szCs w:val="20"/>
              </w:rPr>
              <w:t>х756». Участником в разделе «качели- стойка» указано «Снизу к стойке приварена пластина диаметром 100 мм из листа 4».  Таким образом, ввиду отсутствия единиц измерения, отсутствует конкретные показатели размера обору</w:t>
            </w:r>
            <w:r w:rsidRPr="001D5991">
              <w:rPr>
                <w:sz w:val="20"/>
                <w:szCs w:val="20"/>
              </w:rPr>
              <w:t xml:space="preserve">дования, что не соответствует требованиям документации о закупке. </w:t>
            </w:r>
          </w:p>
          <w:p w:rsidR="00112C4B" w:rsidRDefault="0050770A">
            <w:pPr>
              <w:pStyle w:val="af0"/>
              <w:rPr>
                <w:sz w:val="20"/>
                <w:szCs w:val="20"/>
              </w:rPr>
            </w:pPr>
            <w:r w:rsidRPr="001D5991">
              <w:rPr>
                <w:sz w:val="20"/>
                <w:szCs w:val="20"/>
              </w:rPr>
              <w:t xml:space="preserve"> - участником в отношении выполнения работ по адресу: г. Севастополь, пр. Победы, д. 50,56 предложены к выполнению работы, которые не закупаются заказчиком – демонтаж, что не соответствует д</w:t>
            </w:r>
            <w:r w:rsidRPr="001D5991">
              <w:rPr>
                <w:sz w:val="20"/>
                <w:szCs w:val="20"/>
              </w:rPr>
              <w:t>окументации о закупке.</w:t>
            </w:r>
          </w:p>
        </w:tc>
      </w:tr>
    </w:tbl>
    <w:p w:rsidR="00112C4B" w:rsidRDefault="00112C4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6"/>
        <w:gridCol w:w="2220"/>
        <w:gridCol w:w="1695"/>
        <w:gridCol w:w="1786"/>
        <w:gridCol w:w="1640"/>
      </w:tblGrid>
      <w:tr w:rsidR="00112C4B">
        <w:tc>
          <w:tcPr>
            <w:tcW w:w="9977" w:type="dxa"/>
            <w:gridSpan w:val="5"/>
            <w:shd w:val="clear" w:color="auto" w:fill="auto"/>
          </w:tcPr>
          <w:p w:rsidR="00112C4B" w:rsidRDefault="009B4478" w:rsidP="009B447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единой </w:t>
            </w:r>
            <w:r w:rsidR="0050770A"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112C4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2C4B" w:rsidRDefault="0050770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2C4B" w:rsidRDefault="0050770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2C4B" w:rsidRDefault="0050770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2C4B" w:rsidRDefault="0050770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2C4B" w:rsidRDefault="0050770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12C4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2C4B" w:rsidRDefault="0050770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2C4B" w:rsidRPr="001D5991" w:rsidRDefault="0050770A">
            <w:pPr>
              <w:rPr>
                <w:sz w:val="20"/>
                <w:szCs w:val="20"/>
              </w:rPr>
            </w:pPr>
            <w:r w:rsidRPr="001D5991">
              <w:rPr>
                <w:sz w:val="20"/>
                <w:szCs w:val="20"/>
              </w:rPr>
              <w:t xml:space="preserve">ОБЩЕСТВО С ОГРАНИЧЕННОЙ </w:t>
            </w:r>
            <w:r w:rsidRPr="001D5991">
              <w:rPr>
                <w:sz w:val="20"/>
                <w:szCs w:val="20"/>
              </w:rPr>
              <w:lastRenderedPageBreak/>
              <w:t>ОТВЕТСТВЕННОСТЬЮ "ЛУКМАН-ЛЕС" / 1635010282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2C4B" w:rsidRDefault="005077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4 311 775,78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2C4B" w:rsidRDefault="005077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2C4B" w:rsidRDefault="005077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2C4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2C4B" w:rsidRDefault="0050770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EA-63177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2C4B" w:rsidRPr="001D5991" w:rsidRDefault="0050770A">
            <w:pPr>
              <w:rPr>
                <w:sz w:val="20"/>
                <w:szCs w:val="20"/>
              </w:rPr>
            </w:pPr>
            <w:r w:rsidRPr="001D5991">
              <w:rPr>
                <w:sz w:val="20"/>
                <w:szCs w:val="20"/>
              </w:rPr>
              <w:t>ОБЩЕСТВО С ОГРАНИЧЕННОЙ ОТВЕТСТВЕННОСТЬЮ "ЛУКМАН-ЛЕС" / 1635010282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2C4B" w:rsidRDefault="005077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4 311 775,78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2C4B" w:rsidRDefault="005077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</w:t>
            </w:r>
            <w:r>
              <w:rPr>
                <w:sz w:val="20"/>
                <w:szCs w:val="20"/>
                <w:lang w:val="en-US"/>
              </w:rPr>
              <w:t>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2C4B" w:rsidRDefault="005077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2C4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2C4B" w:rsidRDefault="0050770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2C4B" w:rsidRPr="001D5991" w:rsidRDefault="0050770A">
            <w:pPr>
              <w:rPr>
                <w:sz w:val="20"/>
                <w:szCs w:val="20"/>
              </w:rPr>
            </w:pPr>
            <w:r w:rsidRPr="001D5991">
              <w:rPr>
                <w:sz w:val="20"/>
                <w:szCs w:val="20"/>
              </w:rPr>
              <w:t>ОБЩЕСТВО С ОГРАНИЧЕННОЙ ОТВЕТСТВЕННОСТЬЮ "ЛУКМАН-ЛЕС" / 1635010282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2C4B" w:rsidRDefault="005077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4 311 775,78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2C4B" w:rsidRDefault="005077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Ведер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2C4B" w:rsidRDefault="005077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12C4B" w:rsidRDefault="00112C4B">
      <w:pPr>
        <w:jc w:val="both"/>
        <w:rPr>
          <w:rFonts w:eastAsia="Times New Roman"/>
          <w:sz w:val="20"/>
          <w:szCs w:val="20"/>
          <w:lang w:val="en-US"/>
        </w:rPr>
      </w:pPr>
    </w:p>
    <w:p w:rsidR="00112C4B" w:rsidRPr="001D5991" w:rsidRDefault="0050770A">
      <w:pPr>
        <w:jc w:val="both"/>
      </w:pPr>
      <w:r w:rsidRPr="001D5991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13 статьи 69 Федеральный закон </w:t>
      </w:r>
      <w:r w:rsidRPr="001D5991">
        <w:rPr>
          <w:rFonts w:eastAsia="Times New Roman"/>
          <w:sz w:val="20"/>
          <w:szCs w:val="20"/>
        </w:rPr>
        <w:t>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несоответствии требован</w:t>
      </w:r>
      <w:r w:rsidRPr="001D5991">
        <w:rPr>
          <w:rFonts w:eastAsia="Times New Roman"/>
          <w:sz w:val="20"/>
          <w:szCs w:val="20"/>
        </w:rPr>
        <w:t>иям, установленным документацией об электронном аукционе, всех вторых частей заявок на участие в нем.</w:t>
      </w:r>
    </w:p>
    <w:p w:rsidR="00112C4B" w:rsidRDefault="00112C4B">
      <w:pPr>
        <w:jc w:val="both"/>
        <w:rPr>
          <w:rFonts w:eastAsia="Times New Roman"/>
          <w:sz w:val="20"/>
          <w:szCs w:val="20"/>
        </w:rPr>
      </w:pPr>
    </w:p>
    <w:p w:rsidR="00112C4B" w:rsidRDefault="0050770A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</w:t>
      </w:r>
      <w:r>
        <w:rPr>
          <w:rFonts w:eastAsia="Times New Roman"/>
          <w:sz w:val="20"/>
          <w:szCs w:val="20"/>
        </w:rPr>
        <w:t>13 №44-ФЗ «О контрактной системе в сфере закупок товаров, работ, услуг для обеспечения государственных и муниципальных нужд».</w:t>
      </w:r>
    </w:p>
    <w:p w:rsidR="00112C4B" w:rsidRDefault="00112C4B">
      <w:pPr>
        <w:jc w:val="both"/>
        <w:rPr>
          <w:rFonts w:eastAsia="Times New Roman"/>
          <w:sz w:val="20"/>
          <w:szCs w:val="20"/>
        </w:rPr>
      </w:pPr>
    </w:p>
    <w:p w:rsidR="001C4A36" w:rsidRDefault="001C4A36">
      <w:pPr>
        <w:jc w:val="both"/>
        <w:rPr>
          <w:rFonts w:eastAsia="Times New Roman"/>
          <w:sz w:val="20"/>
          <w:szCs w:val="20"/>
        </w:rPr>
      </w:pPr>
      <w:bookmarkStart w:id="1" w:name="_GoBack"/>
      <w:bookmarkEnd w:id="1"/>
    </w:p>
    <w:p w:rsidR="00112C4B" w:rsidRDefault="0050770A">
      <w:r>
        <w:rPr>
          <w:rFonts w:eastAsia="Times New Roman"/>
          <w:sz w:val="20"/>
          <w:szCs w:val="20"/>
        </w:rPr>
        <w:t>Подписи</w:t>
      </w:r>
    </w:p>
    <w:p w:rsidR="00112C4B" w:rsidRDefault="00112C4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12C4B">
        <w:tc>
          <w:tcPr>
            <w:tcW w:w="3307" w:type="dxa"/>
            <w:shd w:val="clear" w:color="auto" w:fill="auto"/>
            <w:vAlign w:val="bottom"/>
          </w:tcPr>
          <w:p w:rsidR="00112C4B" w:rsidRDefault="0050770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12C4B" w:rsidRDefault="00112C4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12C4B" w:rsidRDefault="0050770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112C4B">
        <w:tc>
          <w:tcPr>
            <w:tcW w:w="3307" w:type="dxa"/>
            <w:shd w:val="clear" w:color="auto" w:fill="auto"/>
            <w:vAlign w:val="bottom"/>
          </w:tcPr>
          <w:p w:rsidR="00112C4B" w:rsidRDefault="0050770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12C4B" w:rsidRDefault="00112C4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12C4B" w:rsidRDefault="0050770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12C4B">
        <w:tc>
          <w:tcPr>
            <w:tcW w:w="3307" w:type="dxa"/>
            <w:shd w:val="clear" w:color="auto" w:fill="auto"/>
            <w:vAlign w:val="bottom"/>
          </w:tcPr>
          <w:p w:rsidR="00112C4B" w:rsidRDefault="0050770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12C4B" w:rsidRDefault="00112C4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12C4B" w:rsidRDefault="0050770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Ведер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</w:tbl>
    <w:p w:rsidR="0050770A" w:rsidRDefault="0050770A"/>
    <w:sectPr w:rsidR="0050770A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2C4B"/>
    <w:rsid w:val="00112C4B"/>
    <w:rsid w:val="001C4A36"/>
    <w:rsid w:val="001D5991"/>
    <w:rsid w:val="00390F7A"/>
    <w:rsid w:val="0050770A"/>
    <w:rsid w:val="009B4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56E5B8"/>
  <w15:docId w15:val="{388B91C0-3706-48A2-8FA6-0FD6D4970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1069</Words>
  <Characters>6097</Characters>
  <Application>Microsoft Office Word</Application>
  <DocSecurity>0</DocSecurity>
  <Lines>50</Lines>
  <Paragraphs>14</Paragraphs>
  <ScaleCrop>false</ScaleCrop>
  <Company>Hewlett-Packard Company</Company>
  <LinksUpToDate>false</LinksUpToDate>
  <CharactersWithSpaces>7152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7</cp:revision>
  <dcterms:created xsi:type="dcterms:W3CDTF">2020-01-20T14:42:00Z</dcterms:created>
  <dcterms:modified xsi:type="dcterms:W3CDTF">2020-11-16T12:44:00Z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