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41"/>
        <w:widowControl/>
        <w:jc w:val="center"/>
        <w:rPr/>
      </w:pPr>
      <w:r>
        <w:rPr/>
      </w:r>
    </w:p>
    <w:p>
      <w:pPr>
        <w:pStyle w:val="Style41"/>
        <w:widowControl/>
        <w:jc w:val="center"/>
        <w:rPr/>
      </w:pPr>
      <w:r>
        <w:rPr>
          <w:rStyle w:val="FontStyle17"/>
          <w:sz w:val="20"/>
          <w:szCs w:val="20"/>
        </w:rPr>
        <w:t xml:space="preserve">ПРОТОКОЛ № </w:t>
      </w:r>
      <w:r>
        <w:rPr>
          <w:rStyle w:val="FontStyle17"/>
          <w:sz w:val="20"/>
          <w:szCs w:val="20"/>
          <w:shd w:fill="FFFFFF" w:val="clear"/>
        </w:rPr>
        <w:t>03.5-3/</w:t>
      </w:r>
      <w:r>
        <w:rPr>
          <w:rStyle w:val="FontStyle17"/>
          <w:sz w:val="20"/>
          <w:szCs w:val="20"/>
          <w:shd w:fill="FFFFFF" w:val="clear"/>
          <w:lang w:val="ru-RU"/>
        </w:rPr>
        <w:t>3246/548</w:t>
      </w:r>
    </w:p>
    <w:p>
      <w:pPr>
        <w:pStyle w:val="Normal"/>
        <w:jc w:val="center"/>
        <w:rPr/>
      </w:pPr>
      <w:r>
        <w:rPr>
          <w:rStyle w:val="FontStyle17"/>
          <w:sz w:val="20"/>
          <w:szCs w:val="20"/>
        </w:rPr>
        <w:t>подведения итогов аукциона в электронной форме</w:t>
      </w:r>
    </w:p>
    <w:p>
      <w:pPr>
        <w:pStyle w:val="Normal"/>
        <w:ind w:left="0" w:right="0" w:firstLine="709"/>
        <w:jc w:val="center"/>
        <w:rPr/>
      </w:pPr>
      <w:r>
        <w:rPr>
          <w:rStyle w:val="FontStyle17"/>
          <w:rFonts w:eastAsia="Times New Roman"/>
          <w:color w:val="00000A"/>
          <w:sz w:val="20"/>
          <w:szCs w:val="20"/>
          <w:lang w:val="ru-RU" w:eastAsia="ru-RU" w:bidi="ar-SA"/>
        </w:rPr>
        <w:t>на право заключения контракта с О</w:t>
      </w:r>
      <w:r>
        <w:rPr>
          <w:rStyle w:val="FontStyle17"/>
          <w:rFonts w:eastAsia="Times New Roman" w:cs="Times New Roman"/>
          <w:b/>
          <w:bCs/>
          <w:color w:val="00000A"/>
          <w:sz w:val="22"/>
          <w:szCs w:val="22"/>
          <w:shd w:fill="FAFAFA" w:val="clear"/>
          <w:lang w:val="ru-RU" w:eastAsia="zh-CN" w:bidi="ar-SA"/>
        </w:rPr>
        <w:t>бластным бюджетным учреждением здравоохранения «Курский городской клинический родильн</w:t>
      </w:r>
      <w:r>
        <w:rPr>
          <w:rStyle w:val="FontStyle17"/>
          <w:rFonts w:eastAsia="Times New Roman" w:cs="Times New Roman"/>
          <w:b/>
          <w:bCs/>
          <w:color w:val="00000A"/>
          <w:sz w:val="22"/>
          <w:szCs w:val="22"/>
          <w:shd w:fill="FFFFFF" w:val="clear"/>
          <w:lang w:val="ru-RU" w:eastAsia="zh-CN" w:bidi="ar-SA"/>
        </w:rPr>
        <w:t>ый дом» на оказание услуг по обслуживанию дизельной электростанции ЭД-100-Т400-2РН</w:t>
      </w:r>
      <w:r>
        <w:rPr>
          <w:rStyle w:val="FontStyle17"/>
          <w:rFonts w:eastAsia="Times New Roman"/>
          <w:b/>
          <w:bCs/>
          <w:color w:val="000000"/>
          <w:sz w:val="24"/>
          <w:szCs w:val="24"/>
          <w:shd w:fill="FFFFFF" w:val="clear"/>
          <w:lang w:val="en-US" w:eastAsia="ru-RU" w:bidi="ar-SA"/>
        </w:rPr>
        <w:t xml:space="preserve"> </w:t>
      </w:r>
    </w:p>
    <w:p>
      <w:pPr>
        <w:pStyle w:val="Normal"/>
        <w:tabs>
          <w:tab w:val="left" w:pos="0" w:leader="none"/>
        </w:tabs>
        <w:ind w:left="0" w:right="0" w:firstLine="709"/>
        <w:jc w:val="center"/>
        <w:rPr/>
      </w:pPr>
      <w:r>
        <w:rPr>
          <w:rStyle w:val="FontStyle17"/>
          <w:rFonts w:eastAsia="Times New Roman"/>
          <w:i w:val="false"/>
          <w:iCs w:val="false"/>
          <w:color w:val="00000A"/>
          <w:sz w:val="20"/>
          <w:szCs w:val="20"/>
          <w:shd w:fill="FFFFFF" w:val="clear"/>
          <w:lang w:val="ru-RU" w:eastAsia="ru-RU" w:bidi="ar-SA"/>
        </w:rPr>
        <w:t xml:space="preserve">                   </w:t>
      </w:r>
      <w:r>
        <w:rPr>
          <w:rStyle w:val="FontStyle17"/>
          <w:rFonts w:eastAsia="Times New Roman"/>
          <w:i w:val="false"/>
          <w:iCs w:val="false"/>
          <w:color w:val="00000A"/>
          <w:sz w:val="22"/>
          <w:szCs w:val="22"/>
          <w:shd w:fill="FFFFFF" w:val="clear"/>
          <w:lang w:val="ru-RU" w:eastAsia="ru-RU" w:bidi="ar-SA"/>
        </w:rPr>
        <w:t xml:space="preserve"> </w:t>
      </w:r>
      <w:r>
        <w:rPr>
          <w:rStyle w:val="FontStyle17"/>
          <w:rFonts w:eastAsia="Times New Roman"/>
          <w:b/>
          <w:bCs/>
          <w:i w:val="false"/>
          <w:iCs w:val="false"/>
          <w:color w:val="000000"/>
          <w:sz w:val="22"/>
          <w:szCs w:val="22"/>
          <w:shd w:fill="FFFFFF" w:val="clear"/>
          <w:lang w:val="ru-RU" w:eastAsia="ru-RU" w:bidi="ar-SA"/>
        </w:rPr>
        <w:t>(регистрационный номер 09-05/21241)</w:t>
      </w:r>
      <w:r>
        <w:rPr>
          <w:rFonts w:eastAsia="Times New Roman" w:cs="Times New Roman"/>
          <w:b/>
          <w:sz w:val="20"/>
          <w:szCs w:val="20"/>
          <w:shd w:fill="FFFFFF" w:val="clear"/>
          <w:lang w:eastAsia="ru-RU"/>
        </w:rPr>
        <w:t xml:space="preserve">                                  </w:t>
      </w:r>
    </w:p>
    <w:p>
      <w:pPr>
        <w:pStyle w:val="Normal"/>
        <w:tabs>
          <w:tab w:val="left" w:pos="0" w:leader="none"/>
        </w:tabs>
        <w:ind w:left="0" w:right="0" w:firstLine="709"/>
        <w:rPr>
          <w:shd w:fill="FFFFFF" w:val="clear"/>
        </w:rPr>
      </w:pPr>
      <w:r>
        <w:rPr>
          <w:b/>
          <w:sz w:val="20"/>
          <w:szCs w:val="20"/>
          <w:shd w:fill="FFFFFF" w:val="clear"/>
        </w:rPr>
        <w:t xml:space="preserve">                                             </w:t>
      </w:r>
      <w:r>
        <w:rPr>
          <w:b/>
          <w:i w:val="false"/>
          <w:iCs w:val="false"/>
          <w:sz w:val="20"/>
          <w:szCs w:val="20"/>
          <w:shd w:fill="FFFFFF" w:val="clear"/>
        </w:rPr>
        <w:t xml:space="preserve">  </w:t>
      </w:r>
      <w:r>
        <w:rPr>
          <w:b/>
          <w:i w:val="false"/>
          <w:iCs w:val="false"/>
          <w:sz w:val="20"/>
          <w:szCs w:val="20"/>
          <w:shd w:fill="FFFFFF" w:val="clear"/>
        </w:rPr>
        <w:t>Идентификац</w:t>
      </w:r>
      <w:r>
        <w:rPr>
          <w:rFonts w:eastAsia="Times New Roman" w:cs="Times New Roman"/>
          <w:b/>
          <w:bCs/>
          <w:i w:val="false"/>
          <w:iCs w:val="false"/>
          <w:color w:val="000000"/>
          <w:sz w:val="20"/>
          <w:szCs w:val="20"/>
          <w:shd w:fill="FFFFFF" w:val="clear"/>
          <w:lang w:val="ru-RU" w:eastAsia="ru-RU"/>
        </w:rPr>
        <w:t>ионный ко</w:t>
      </w:r>
      <w:r>
        <w:rPr>
          <w:b/>
          <w:i w:val="false"/>
          <w:iCs w:val="false"/>
          <w:sz w:val="20"/>
          <w:szCs w:val="20"/>
          <w:shd w:fill="FFFFFF" w:val="clear"/>
        </w:rPr>
        <w:t>д закупки:</w:t>
      </w:r>
    </w:p>
    <w:p>
      <w:pPr>
        <w:pStyle w:val="Normal"/>
        <w:widowControl/>
        <w:tabs>
          <w:tab w:val="left" w:pos="0" w:leader="none"/>
        </w:tabs>
        <w:bidi w:val="0"/>
        <w:spacing w:before="0" w:after="60"/>
        <w:ind w:left="0" w:right="0" w:hanging="0"/>
        <w:jc w:val="left"/>
        <w:rPr/>
      </w:pPr>
      <w:r>
        <w:rPr>
          <w:b/>
          <w:bCs/>
          <w:i w:val="false"/>
          <w:iCs w:val="false"/>
          <w:color w:val="000000"/>
          <w:sz w:val="20"/>
          <w:szCs w:val="20"/>
          <w:u w:val="none"/>
          <w:shd w:fill="FFFFFF" w:val="clear"/>
          <w:lang w:val="ru-RU" w:eastAsia="ru-RU"/>
        </w:rPr>
        <w:t xml:space="preserve">                                                    </w:t>
      </w:r>
      <w:r>
        <w:rPr>
          <w:rFonts w:cs="Tahoma" w:ascii="Tahoma" w:hAnsi="Tahoma"/>
          <w:b/>
          <w:bCs/>
          <w:i w:val="false"/>
          <w:iCs w:val="false"/>
          <w:color w:val="000000"/>
          <w:sz w:val="18"/>
          <w:szCs w:val="18"/>
          <w:u w:val="none"/>
          <w:shd w:fill="FFFFFF" w:val="clear"/>
          <w:lang w:val="ru-RU" w:eastAsia="ru-RU"/>
        </w:rPr>
        <w:t>202463200689346320100102240013314244</w:t>
      </w:r>
    </w:p>
    <w:p>
      <w:pPr>
        <w:pStyle w:val="Normal"/>
        <w:tabs>
          <w:tab w:val="left" w:pos="0" w:leader="none"/>
        </w:tabs>
        <w:rPr/>
      </w:pPr>
      <w:r>
        <w:rPr>
          <w:sz w:val="20"/>
          <w:szCs w:val="20"/>
        </w:rPr>
        <w:t xml:space="preserve">г. Курск, ул. </w:t>
      </w:r>
      <w:r>
        <w:rPr>
          <w:rFonts w:eastAsia="Times New Roman" w:cs="Times New Roman"/>
          <w:sz w:val="20"/>
          <w:szCs w:val="20"/>
          <w:lang w:eastAsia="ru-RU"/>
        </w:rPr>
        <w:t>Красный Октябрь, 21</w:t>
      </w:r>
      <w:r>
        <w:rPr>
          <w:sz w:val="20"/>
          <w:szCs w:val="20"/>
        </w:rPr>
        <w:t xml:space="preserve">                                                                                     «19 » ноября 2020 года</w:t>
      </w:r>
    </w:p>
    <w:p>
      <w:pPr>
        <w:pStyle w:val="Style26"/>
        <w:spacing w:before="28" w:after="28"/>
        <w:jc w:val="center"/>
        <w:rPr/>
      </w:pPr>
      <w:r>
        <w:rPr>
          <w:color w:val="00000A"/>
          <w:sz w:val="20"/>
          <w:szCs w:val="20"/>
        </w:rPr>
        <w:t xml:space="preserve">                                                                                                           </w:t>
      </w:r>
    </w:p>
    <w:p>
      <w:pPr>
        <w:pStyle w:val="BodyTextIndent2"/>
        <w:spacing w:lineRule="atLeast" w:line="100" w:before="0" w:after="0"/>
        <w:ind w:left="0" w:right="0" w:hanging="0"/>
        <w:jc w:val="both"/>
        <w:rPr/>
      </w:pPr>
      <w:r>
        <w:rPr>
          <w:sz w:val="20"/>
          <w:szCs w:val="20"/>
        </w:rPr>
        <w:t>На заседании аукционной комиссии присутствовали:</w:t>
      </w:r>
    </w:p>
    <w:p>
      <w:pPr>
        <w:pStyle w:val="BodyTextIndent2"/>
        <w:spacing w:lineRule="atLeast" w:line="100" w:before="0" w:after="0"/>
        <w:ind w:left="0" w:right="0" w:hanging="0"/>
        <w:jc w:val="both"/>
        <w:rPr/>
      </w:pPr>
      <w:r>
        <w:rPr/>
      </w:r>
    </w:p>
    <w:p>
      <w:pPr>
        <w:pStyle w:val="BodyTextIndent2"/>
        <w:spacing w:lineRule="atLeast" w:line="100" w:before="0" w:after="0"/>
        <w:ind w:left="0" w:right="0" w:hanging="0"/>
        <w:jc w:val="both"/>
        <w:rPr/>
      </w:pPr>
      <w:r>
        <w:rPr/>
      </w:r>
    </w:p>
    <w:tbl>
      <w:tblPr>
        <w:tblW w:w="9235" w:type="dxa"/>
        <w:jc w:val="left"/>
        <w:tblInd w:w="154" w:type="dxa"/>
        <w:tblBorders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84"/>
        <w:gridCol w:w="6450"/>
      </w:tblGrid>
      <w:tr>
        <w:trPr>
          <w:trHeight w:val="539" w:hRule="atLeast"/>
        </w:trPr>
        <w:tc>
          <w:tcPr>
            <w:tcW w:w="2784" w:type="dxa"/>
            <w:tcBorders/>
            <w:shd w:fill="auto" w:val="clear"/>
          </w:tcPr>
          <w:p>
            <w:pPr>
              <w:pStyle w:val="Normal"/>
              <w:spacing w:lineRule="atLeast" w:line="100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  <w:p>
            <w:pPr>
              <w:pStyle w:val="Normal"/>
              <w:spacing w:lineRule="atLeast" w:line="100"/>
              <w:rPr/>
            </w:pPr>
            <w:r>
              <w:rPr/>
            </w:r>
          </w:p>
          <w:p>
            <w:pPr>
              <w:pStyle w:val="Style28"/>
              <w:spacing w:lineRule="atLeast" w:line="100"/>
              <w:ind w:left="0" w:right="3" w:hanging="0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shd w:fill="FFFFFF" w:val="clear"/>
                <w:lang w:val="ru-RU" w:eastAsia="ru-RU" w:bidi="ar-SA"/>
              </w:rPr>
              <w:t>Костина Анастасия Сергеевна</w:t>
            </w:r>
          </w:p>
        </w:tc>
        <w:tc>
          <w:tcPr>
            <w:tcW w:w="6450" w:type="dxa"/>
            <w:tcBorders/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Временно исполняющий обязанности директора областного казенного учреждения «Центр закупок Курской области», председатель комиссии</w:t>
            </w:r>
          </w:p>
          <w:p>
            <w:pPr>
              <w:pStyle w:val="Normal"/>
              <w:jc w:val="both"/>
              <w:rPr/>
            </w:pPr>
            <w:r>
              <w:rPr/>
            </w:r>
          </w:p>
          <w:p>
            <w:pPr>
              <w:pStyle w:val="Normal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заместитель начальника  отдела закупок в сфере строительства и ЖКХ областного казенного учреждения «Центр закупок Курской области», секретарь комиссии</w:t>
            </w:r>
          </w:p>
          <w:p>
            <w:pPr>
              <w:pStyle w:val="Normal"/>
              <w:jc w:val="both"/>
              <w:rPr/>
            </w:pPr>
            <w:r>
              <w:rPr/>
            </w:r>
          </w:p>
        </w:tc>
      </w:tr>
      <w:tr>
        <w:trPr>
          <w:trHeight w:val="807" w:hRule="atLeast"/>
        </w:trPr>
        <w:tc>
          <w:tcPr>
            <w:tcW w:w="278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Маслова Юлия </w:t>
            </w:r>
          </w:p>
          <w:p>
            <w:pPr>
              <w:pStyle w:val="Normal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Михайловна</w:t>
            </w:r>
          </w:p>
          <w:p>
            <w:pPr>
              <w:pStyle w:val="Normal"/>
              <w:rPr/>
            </w:pPr>
            <w:r>
              <w:rPr/>
            </w:r>
          </w:p>
        </w:tc>
        <w:tc>
          <w:tcPr>
            <w:tcW w:w="6450" w:type="dxa"/>
            <w:tcBorders/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консультант отдела закупок в сфере строительства и ЖКХ областного казенного учреждения «Центр закупок Курской области», член комиссии.</w:t>
            </w:r>
          </w:p>
        </w:tc>
      </w:tr>
      <w:tr>
        <w:trPr>
          <w:trHeight w:val="557" w:hRule="atLeast"/>
        </w:trPr>
        <w:tc>
          <w:tcPr>
            <w:tcW w:w="278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Жданова Елена </w:t>
            </w:r>
          </w:p>
          <w:p>
            <w:pPr>
              <w:pStyle w:val="Normal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Николаевна</w:t>
            </w:r>
          </w:p>
        </w:tc>
        <w:tc>
          <w:tcPr>
            <w:tcW w:w="6450" w:type="dxa"/>
            <w:tcBorders/>
            <w:shd w:fill="auto" w:val="clear"/>
          </w:tcPr>
          <w:p>
            <w:pPr>
              <w:pStyle w:val="Normal"/>
              <w:jc w:val="both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Заместитель главного врача по экономическим вопросам- член комиссии </w:t>
            </w:r>
          </w:p>
        </w:tc>
      </w:tr>
      <w:tr>
        <w:trPr>
          <w:trHeight w:val="557" w:hRule="atLeast"/>
        </w:trPr>
        <w:tc>
          <w:tcPr>
            <w:tcW w:w="278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Монастырёва Марина Николаевна</w:t>
            </w:r>
          </w:p>
        </w:tc>
        <w:tc>
          <w:tcPr>
            <w:tcW w:w="6450" w:type="dxa"/>
            <w:tcBorders/>
            <w:shd w:fill="auto" w:val="clear"/>
          </w:tcPr>
          <w:p>
            <w:pPr>
              <w:pStyle w:val="Normal"/>
              <w:widowControl/>
              <w:bidi w:val="0"/>
              <w:spacing w:before="0" w:after="60"/>
              <w:ind w:left="0" w:right="0" w:hanging="0"/>
              <w:jc w:val="left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Экономист- член комиссии</w:t>
            </w:r>
          </w:p>
        </w:tc>
      </w:tr>
    </w:tbl>
    <w:p>
      <w:pPr>
        <w:pStyle w:val="BodyTextIndent2"/>
        <w:spacing w:lineRule="atLeast" w:line="100" w:before="0" w:after="0"/>
        <w:ind w:left="0" w:right="0" w:firstLine="708"/>
        <w:jc w:val="both"/>
        <w:rPr/>
      </w:pPr>
      <w:r>
        <w:rPr/>
      </w:r>
    </w:p>
    <w:p>
      <w:pPr>
        <w:pStyle w:val="BodyTextIndent2"/>
        <w:spacing w:lineRule="atLeast" w:line="100" w:before="0" w:after="0"/>
        <w:ind w:left="0" w:right="0" w:firstLine="708"/>
        <w:jc w:val="both"/>
        <w:rPr/>
      </w:pPr>
      <w:r>
        <w:rPr>
          <w:sz w:val="20"/>
          <w:szCs w:val="20"/>
        </w:rPr>
        <w:t xml:space="preserve">На заседании аукционной комиссии присутствовали </w:t>
      </w:r>
      <w:r>
        <w:rPr>
          <w:rFonts w:eastAsia="Times New Roman" w:cs="Times New Roman"/>
          <w:color w:val="00000A"/>
          <w:sz w:val="20"/>
          <w:szCs w:val="20"/>
          <w:shd w:fill="FFFFFF" w:val="clear"/>
          <w:lang w:val="ru-RU" w:eastAsia="ru-RU" w:bidi="ar-SA"/>
        </w:rPr>
        <w:t>5</w:t>
      </w:r>
      <w:r>
        <w:rPr>
          <w:sz w:val="20"/>
          <w:szCs w:val="20"/>
        </w:rPr>
        <w:t xml:space="preserve"> членов комиссии. Комиссия правомочна принимать решения.</w:t>
      </w:r>
    </w:p>
    <w:p>
      <w:pPr>
        <w:pStyle w:val="ConsPlusNormal1"/>
        <w:widowControl/>
        <w:tabs>
          <w:tab w:val="left" w:pos="360" w:leader="none"/>
        </w:tabs>
        <w:ind w:left="0" w:right="0" w:hanging="0"/>
        <w:jc w:val="center"/>
        <w:rPr/>
      </w:pPr>
      <w:r>
        <w:rPr/>
      </w:r>
    </w:p>
    <w:p>
      <w:pPr>
        <w:pStyle w:val="ConsPlusNormal1"/>
        <w:widowControl/>
        <w:tabs>
          <w:tab w:val="left" w:pos="360" w:leader="none"/>
        </w:tabs>
        <w:ind w:left="0" w:right="0" w:hanging="0"/>
        <w:jc w:val="center"/>
        <w:rPr/>
      </w:pPr>
      <w:r>
        <w:rPr>
          <w:rFonts w:cs="Times New Roman" w:ascii="Times New Roman" w:hAnsi="Times New Roman"/>
          <w:b w:val="false"/>
          <w:bCs w:val="false"/>
          <w:color w:val="000000"/>
        </w:rPr>
        <w:t>Наименование объекта закупки</w:t>
      </w:r>
    </w:p>
    <w:p>
      <w:pPr>
        <w:pStyle w:val="ConsPlusNormal1"/>
        <w:widowControl/>
        <w:tabs>
          <w:tab w:val="left" w:pos="360" w:leader="none"/>
        </w:tabs>
        <w:ind w:left="0" w:right="0" w:hanging="0"/>
        <w:jc w:val="center"/>
        <w:rPr/>
      </w:pPr>
      <w:r>
        <w:rPr/>
      </w:r>
    </w:p>
    <w:p>
      <w:pPr>
        <w:pStyle w:val="ConsPlusNormal1"/>
        <w:widowControl/>
        <w:tabs>
          <w:tab w:val="left" w:pos="360" w:leader="none"/>
        </w:tabs>
        <w:ind w:left="0" w:right="0" w:hanging="0"/>
        <w:jc w:val="center"/>
        <w:rPr/>
      </w:pPr>
      <w:r>
        <w:rPr/>
      </w:r>
    </w:p>
    <w:p>
      <w:pPr>
        <w:pStyle w:val="Normal"/>
        <w:keepNext/>
        <w:keepLines/>
        <w:widowControl w:val="false"/>
        <w:suppressLineNumbers/>
        <w:tabs>
          <w:tab w:val="left" w:pos="0" w:leader="none"/>
        </w:tabs>
        <w:suppressAutoHyphens w:val="true"/>
        <w:spacing w:before="0" w:after="0"/>
        <w:ind w:left="0" w:right="0" w:hanging="0"/>
        <w:jc w:val="center"/>
        <w:rPr/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z w:val="20"/>
          <w:szCs w:val="20"/>
          <w:shd w:fill="FFFFFF" w:val="clear"/>
          <w:lang w:val="ru-RU" w:eastAsia="zh-CN" w:bidi="ar-SA"/>
        </w:rPr>
        <w:t>Оказание услуг по обслуживанию дизельной электростанции ЭД-100-Т400-2РН</w:t>
      </w:r>
    </w:p>
    <w:p>
      <w:pPr>
        <w:pStyle w:val="Normal"/>
        <w:widowControl w:val="false"/>
        <w:suppressLineNumbers/>
        <w:tabs>
          <w:tab w:val="left" w:pos="0" w:leader="none"/>
        </w:tabs>
        <w:suppressAutoHyphens w:val="true"/>
        <w:spacing w:before="0" w:after="0"/>
        <w:ind w:left="0" w:right="0" w:hanging="0"/>
        <w:jc w:val="left"/>
        <w:rPr>
          <w:b w:val="false"/>
          <w:b w:val="false"/>
          <w:bCs w:val="false"/>
          <w:shd w:fill="FFFF00" w:val="clear"/>
        </w:rPr>
      </w:pPr>
      <w:r>
        <w:rPr>
          <w:b w:val="false"/>
          <w:bCs w:val="false"/>
          <w:shd w:fill="FFFF00" w:val="clear"/>
        </w:rPr>
      </w:r>
    </w:p>
    <w:p>
      <w:pPr>
        <w:pStyle w:val="Normal"/>
        <w:widowControl w:val="false"/>
        <w:suppressLineNumbers/>
        <w:tabs>
          <w:tab w:val="left" w:pos="0" w:leader="none"/>
        </w:tabs>
        <w:suppressAutoHyphens w:val="true"/>
        <w:spacing w:before="0" w:after="0"/>
        <w:ind w:left="0" w:right="0" w:hanging="0"/>
        <w:jc w:val="left"/>
        <w:rPr>
          <w:b w:val="false"/>
          <w:b w:val="false"/>
          <w:bCs w:val="false"/>
          <w:shd w:fill="FFFF00" w:val="clear"/>
        </w:rPr>
      </w:pPr>
      <w:r>
        <w:rPr>
          <w:b w:val="false"/>
          <w:bCs w:val="false"/>
          <w:shd w:fill="FFFF00" w:val="clear"/>
        </w:rPr>
      </w:r>
    </w:p>
    <w:p>
      <w:pPr>
        <w:pStyle w:val="Normal"/>
        <w:keepNext/>
        <w:keepLines/>
        <w:suppressLineNumbers/>
        <w:suppressAutoHyphens w:val="true"/>
        <w:jc w:val="center"/>
        <w:rPr>
          <w:shd w:fill="FFFFFF" w:val="clear"/>
        </w:rPr>
      </w:pPr>
      <w:r>
        <w:rPr>
          <w:color w:val="000000"/>
          <w:sz w:val="20"/>
          <w:szCs w:val="20"/>
          <w:shd w:fill="FFFFFF" w:val="clear"/>
        </w:rPr>
        <w:t xml:space="preserve">Начальная максимальная цена контракта: </w:t>
      </w:r>
    </w:p>
    <w:p>
      <w:pPr>
        <w:pStyle w:val="Normal"/>
        <w:keepNext/>
        <w:keepLines/>
        <w:widowControl w:val="false"/>
        <w:suppressLineNumbers/>
        <w:suppressAutoHyphens w:val="true"/>
        <w:spacing w:before="0" w:after="0"/>
        <w:jc w:val="left"/>
        <w:rPr/>
      </w:pPr>
      <w:r>
        <w:rPr>
          <w:b/>
          <w:bCs w:val="false"/>
          <w:i w:val="false"/>
          <w:iCs w:val="false"/>
          <w:color w:val="000000"/>
          <w:sz w:val="22"/>
          <w:szCs w:val="22"/>
          <w:u w:val="none"/>
          <w:shd w:fill="FFFFFF" w:val="clear"/>
        </w:rPr>
        <w:t xml:space="preserve">                      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z w:val="20"/>
          <w:szCs w:val="20"/>
          <w:u w:val="none"/>
          <w:shd w:fill="FFFFFF" w:val="clear"/>
          <w:lang w:val="ru-RU" w:eastAsia="ru-RU" w:bidi="ar-SA"/>
        </w:rPr>
        <w:t>123 999,96 ( сто двадцать три тысячи девятьсот девяноста девять руб. 96 коп.)</w:t>
      </w:r>
    </w:p>
    <w:p>
      <w:pPr>
        <w:pStyle w:val="Normal"/>
        <w:widowControl w:val="false"/>
        <w:suppressLineNumbers/>
        <w:suppressAutoHyphens w:val="true"/>
        <w:spacing w:before="0" w:after="0"/>
        <w:jc w:val="left"/>
        <w:rPr/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0"/>
          <w:sz w:val="20"/>
          <w:szCs w:val="20"/>
          <w:u w:val="none"/>
          <w:shd w:fill="FFFFFF" w:val="clear"/>
          <w:lang w:val="ru-RU" w:eastAsia="ru-RU" w:bidi="ar-SA"/>
        </w:rPr>
        <w:t xml:space="preserve"> </w:t>
      </w:r>
    </w:p>
    <w:p>
      <w:pPr>
        <w:pStyle w:val="Normal"/>
        <w:suppressLineNumbers/>
        <w:suppressAutoHyphens w:val="true"/>
        <w:jc w:val="center"/>
        <w:rPr>
          <w:b w:val="false"/>
          <w:b w:val="false"/>
          <w:bCs w:val="false"/>
          <w:shd w:fill="FFFFFF" w:val="clear"/>
        </w:rPr>
      </w:pPr>
      <w:r>
        <w:rPr>
          <w:b w:val="false"/>
          <w:bCs w:val="false"/>
          <w:shd w:fill="FFFFFF" w:val="clear"/>
        </w:rPr>
      </w:r>
    </w:p>
    <w:p>
      <w:pPr>
        <w:pStyle w:val="Normal"/>
        <w:suppressLineNumbers/>
        <w:suppressAutoHyphens w:val="true"/>
        <w:jc w:val="center"/>
        <w:rPr>
          <w:b w:val="false"/>
          <w:b w:val="false"/>
          <w:bCs w:val="false"/>
          <w:shd w:fill="FFFFFF" w:val="clear"/>
        </w:rPr>
      </w:pPr>
      <w:r>
        <w:rPr>
          <w:b w:val="false"/>
          <w:bCs w:val="false"/>
          <w:shd w:fill="FFFFFF" w:val="clear"/>
        </w:rPr>
      </w:r>
    </w:p>
    <w:p>
      <w:pPr>
        <w:pStyle w:val="Normal"/>
        <w:suppressLineNumbers/>
        <w:suppressAutoHyphens w:val="true"/>
        <w:jc w:val="center"/>
        <w:rPr>
          <w:b w:val="false"/>
          <w:b w:val="false"/>
          <w:bCs w:val="false"/>
          <w:shd w:fill="FFFFFF" w:val="clear"/>
        </w:rPr>
      </w:pPr>
      <w:r>
        <w:rPr>
          <w:b w:val="false"/>
          <w:bCs w:val="false"/>
          <w:shd w:fill="FFFFFF" w:val="clear"/>
        </w:rPr>
      </w:r>
    </w:p>
    <w:p>
      <w:pPr>
        <w:pStyle w:val="Normal"/>
        <w:suppressLineNumbers/>
        <w:suppressAutoHyphens w:val="true"/>
        <w:jc w:val="both"/>
        <w:rPr/>
      </w:pPr>
      <w:r>
        <w:rPr>
          <w:b w:val="false"/>
          <w:bCs w:val="false"/>
          <w:color w:val="000000"/>
          <w:sz w:val="20"/>
          <w:szCs w:val="20"/>
          <w:shd w:fill="FFFFFF" w:val="clear"/>
          <w:lang w:val="ru-RU" w:eastAsia="ru-RU"/>
        </w:rPr>
        <w:t xml:space="preserve">Аукционная комиссия рассмотрела единственную заявку </w:t>
      </w:r>
      <w:r>
        <w:rPr>
          <w:b w:val="false"/>
          <w:bCs w:val="false"/>
          <w:color w:val="000000"/>
          <w:sz w:val="20"/>
          <w:szCs w:val="20"/>
          <w:lang w:val="ru-RU" w:eastAsia="ru-RU"/>
        </w:rPr>
        <w:t>участника закупки и д</w:t>
      </w:r>
      <w:r>
        <w:rPr>
          <w:rFonts w:eastAsia="Times New Roman" w:cs="Times New Roman"/>
          <w:b w:val="false"/>
          <w:bCs w:val="false"/>
          <w:color w:val="000000"/>
          <w:sz w:val="20"/>
          <w:szCs w:val="20"/>
          <w:lang w:val="ru-RU" w:eastAsia="ru-RU"/>
        </w:rPr>
        <w:t>окументы</w:t>
      </w:r>
      <w:r>
        <w:rPr>
          <w:b w:val="false"/>
          <w:bCs w:val="false"/>
          <w:color w:val="000000"/>
          <w:sz w:val="20"/>
          <w:szCs w:val="20"/>
          <w:lang w:val="ru-RU" w:eastAsia="ru-RU"/>
        </w:rPr>
        <w:t xml:space="preserve"> данной заявки на предмет соответствия требованиям Федерального закона от 05.04.2013 №44-ФЗ «О контрактной в сфере закупок товаров, работ, услуг для обеспечения государственных нужд» и документации в электронной форме.</w:t>
      </w:r>
    </w:p>
    <w:p>
      <w:pPr>
        <w:pStyle w:val="Normal"/>
        <w:keepNext/>
        <w:keepLines/>
        <w:suppressLineNumbers/>
        <w:suppressAutoHyphens w:val="true"/>
        <w:rPr/>
      </w:pPr>
      <w:r>
        <w:rPr/>
      </w:r>
    </w:p>
    <w:p>
      <w:pPr>
        <w:pStyle w:val="Style41"/>
        <w:widowControl/>
        <w:jc w:val="both"/>
        <w:rPr/>
      </w:pPr>
      <w:r>
        <w:rPr/>
      </w:r>
    </w:p>
    <w:p>
      <w:pPr>
        <w:pStyle w:val="Style41"/>
        <w:widowControl/>
        <w:jc w:val="both"/>
        <w:rPr/>
      </w:pPr>
      <w:r>
        <w:rPr/>
      </w:r>
    </w:p>
    <w:p>
      <w:pPr>
        <w:pStyle w:val="Style41"/>
        <w:widowControl/>
        <w:jc w:val="both"/>
        <w:rPr/>
      </w:pPr>
      <w:r>
        <w:rPr/>
      </w:r>
    </w:p>
    <w:p>
      <w:pPr>
        <w:pStyle w:val="Style41"/>
        <w:widowControl/>
        <w:jc w:val="both"/>
        <w:rPr/>
      </w:pPr>
      <w:r>
        <w:rPr/>
      </w:r>
    </w:p>
    <w:p>
      <w:pPr>
        <w:pStyle w:val="Style41"/>
        <w:widowControl/>
        <w:jc w:val="both"/>
        <w:rPr/>
      </w:pPr>
      <w:r>
        <w:rPr/>
      </w:r>
    </w:p>
    <w:p>
      <w:pPr>
        <w:pStyle w:val="Style41"/>
        <w:widowControl/>
        <w:jc w:val="both"/>
        <w:rPr/>
      </w:pPr>
      <w:r>
        <w:rPr/>
      </w:r>
    </w:p>
    <w:p>
      <w:pPr>
        <w:pStyle w:val="Style41"/>
        <w:widowControl/>
        <w:jc w:val="both"/>
        <w:rPr/>
      </w:pPr>
      <w:r>
        <w:rPr/>
      </w:r>
    </w:p>
    <w:p>
      <w:pPr>
        <w:pStyle w:val="Style41"/>
        <w:widowControl/>
        <w:jc w:val="both"/>
        <w:rPr/>
      </w:pPr>
      <w:r>
        <w:rPr/>
      </w:r>
    </w:p>
    <w:p>
      <w:pPr>
        <w:pStyle w:val="Style41"/>
        <w:widowControl/>
        <w:jc w:val="both"/>
        <w:rPr/>
      </w:pPr>
      <w:r>
        <w:rPr/>
      </w:r>
    </w:p>
    <w:p>
      <w:pPr>
        <w:pStyle w:val="Style41"/>
        <w:widowControl/>
        <w:jc w:val="both"/>
        <w:rPr/>
      </w:pPr>
      <w:r>
        <w:rPr/>
      </w:r>
    </w:p>
    <w:p>
      <w:pPr>
        <w:pStyle w:val="Style41"/>
        <w:widowControl/>
        <w:jc w:val="both"/>
        <w:rPr/>
      </w:pPr>
      <w:r>
        <w:rPr/>
      </w:r>
    </w:p>
    <w:p>
      <w:pPr>
        <w:pStyle w:val="Style41"/>
        <w:widowControl/>
        <w:jc w:val="both"/>
        <w:rPr/>
      </w:pPr>
      <w:r>
        <w:rPr/>
      </w:r>
    </w:p>
    <w:p>
      <w:pPr>
        <w:pStyle w:val="Style41"/>
        <w:widowControl/>
        <w:jc w:val="both"/>
        <w:rPr/>
      </w:pPr>
      <w:r>
        <w:rPr>
          <w:rStyle w:val="Style17"/>
          <w:sz w:val="20"/>
          <w:szCs w:val="20"/>
        </w:rPr>
        <w:t>Членами аукционной комиссии принято решение:</w:t>
      </w:r>
    </w:p>
    <w:p>
      <w:pPr>
        <w:pStyle w:val="Style41"/>
        <w:widowControl/>
        <w:jc w:val="both"/>
        <w:rPr/>
      </w:pPr>
      <w:r>
        <w:rPr/>
      </w:r>
    </w:p>
    <w:tbl>
      <w:tblPr>
        <w:tblW w:w="7145" w:type="dxa"/>
        <w:jc w:val="left"/>
        <w:tblInd w:w="737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58" w:type="dxa"/>
          <w:bottom w:w="0" w:type="dxa"/>
          <w:right w:w="108" w:type="dxa"/>
        </w:tblCellMar>
      </w:tblPr>
      <w:tblGrid>
        <w:gridCol w:w="2284"/>
        <w:gridCol w:w="4860"/>
      </w:tblGrid>
      <w:tr>
        <w:trPr>
          <w:trHeight w:val="1136" w:hRule="atLeast"/>
        </w:trPr>
        <w:tc>
          <w:tcPr>
            <w:tcW w:w="22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58" w:type="dxa"/>
            </w:tcMar>
            <w:vAlign w:val="center"/>
          </w:tcPr>
          <w:p>
            <w:pPr>
              <w:pStyle w:val="Normal"/>
              <w:spacing w:lineRule="atLeast" w:line="10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Члены комиссии</w:t>
            </w:r>
          </w:p>
        </w:tc>
        <w:tc>
          <w:tcPr>
            <w:tcW w:w="4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58" w:type="dxa"/>
            </w:tcMar>
            <w:vAlign w:val="center"/>
          </w:tcPr>
          <w:p>
            <w:pPr>
              <w:pStyle w:val="Normal"/>
              <w:spacing w:lineRule="atLeast" w:line="10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FF"/>
                <w:sz w:val="16"/>
                <w:szCs w:val="16"/>
                <w:u w:val="single"/>
                <w:lang w:eastAsia="ru-RU"/>
              </w:rPr>
              <w:t xml:space="preserve">Решение </w:t>
            </w:r>
          </w:p>
          <w:p>
            <w:pPr>
              <w:pStyle w:val="Normal"/>
              <w:spacing w:lineRule="atLeast" w:line="10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FF"/>
                <w:sz w:val="16"/>
                <w:szCs w:val="16"/>
                <w:u w:val="single"/>
                <w:lang w:eastAsia="ru-RU"/>
              </w:rPr>
              <w:t xml:space="preserve">по Заявке </w:t>
            </w:r>
          </w:p>
          <w:p>
            <w:pPr>
              <w:pStyle w:val="Normal"/>
              <w:spacing w:lineRule="atLeast" w:line="10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FF"/>
                <w:sz w:val="16"/>
                <w:szCs w:val="16"/>
                <w:u w:val="single"/>
                <w:lang w:eastAsia="ru-RU"/>
              </w:rPr>
              <w:t xml:space="preserve">№ </w:t>
            </w:r>
            <w:r>
              <w:rPr>
                <w:rStyle w:val="Style17"/>
                <w:rFonts w:eastAsia="Times New Roman" w:cs="Times New Roman"/>
                <w:color w:val="0000FF"/>
                <w:sz w:val="16"/>
                <w:szCs w:val="16"/>
                <w:u w:val="single"/>
                <w:lang w:eastAsia="ru-RU"/>
              </w:rPr>
              <w:t>EA-63725</w:t>
            </w:r>
          </w:p>
          <w:p>
            <w:pPr>
              <w:pStyle w:val="Normal"/>
              <w:spacing w:lineRule="atLeast" w:line="100" w:before="0" w:after="0"/>
              <w:jc w:val="center"/>
              <w:rPr/>
            </w:pPr>
            <w:hyperlink r:id="rId2">
              <w:r>
                <w:rPr>
                  <w:rStyle w:val="Style17"/>
                  <w:rFonts w:eastAsia="Times New Roman" w:cs="Times New Roman"/>
                  <w:color w:val="0000FF"/>
                  <w:sz w:val="16"/>
                  <w:szCs w:val="16"/>
                  <w:u w:val="single"/>
                  <w:lang w:eastAsia="ru-RU"/>
                </w:rPr>
                <w:t>ПАРФЕНТЬЕВ ВИТАЛИЙ ИГОРЕВИЧ</w:t>
              </w:r>
            </w:hyperlink>
          </w:p>
          <w:p>
            <w:pPr>
              <w:pStyle w:val="Normal"/>
              <w:spacing w:lineRule="atLeast" w:line="100" w:before="0"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>
          <w:trHeight w:val="397" w:hRule="atLeast"/>
        </w:trPr>
        <w:tc>
          <w:tcPr>
            <w:tcW w:w="22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58" w:type="dxa"/>
            </w:tcMar>
            <w:vAlign w:val="center"/>
          </w:tcPr>
          <w:p>
            <w:pPr>
              <w:pStyle w:val="Normal"/>
              <w:spacing w:lineRule="atLeast" w:line="100" w:before="0" w:after="0"/>
              <w:rPr/>
            </w:pPr>
            <w:r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А.Н. Полторацкий</w:t>
            </w:r>
          </w:p>
        </w:tc>
        <w:tc>
          <w:tcPr>
            <w:tcW w:w="4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58" w:type="dxa"/>
            </w:tcMar>
            <w:vAlign w:val="center"/>
          </w:tcPr>
          <w:p>
            <w:pPr>
              <w:pStyle w:val="Normal"/>
              <w:spacing w:lineRule="atLeast" w:line="10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22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58" w:type="dxa"/>
            </w:tcMar>
            <w:vAlign w:val="center"/>
          </w:tcPr>
          <w:p>
            <w:pPr>
              <w:pStyle w:val="Normal"/>
              <w:spacing w:lineRule="atLeast" w:line="100" w:before="0" w:after="0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А.С. Костина</w:t>
            </w:r>
          </w:p>
        </w:tc>
        <w:tc>
          <w:tcPr>
            <w:tcW w:w="4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58" w:type="dxa"/>
            </w:tcMar>
            <w:vAlign w:val="center"/>
          </w:tcPr>
          <w:p>
            <w:pPr>
              <w:pStyle w:val="Normal"/>
              <w:spacing w:lineRule="atLeast" w:line="10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22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58" w:type="dxa"/>
            </w:tcMar>
            <w:vAlign w:val="center"/>
          </w:tcPr>
          <w:p>
            <w:pPr>
              <w:pStyle w:val="Normal"/>
              <w:spacing w:lineRule="atLeast" w:line="100" w:before="0" w:after="0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  <w:t>Ю.М. Маслова</w:t>
            </w:r>
          </w:p>
        </w:tc>
        <w:tc>
          <w:tcPr>
            <w:tcW w:w="4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58" w:type="dxa"/>
            </w:tcMar>
            <w:vAlign w:val="center"/>
          </w:tcPr>
          <w:p>
            <w:pPr>
              <w:pStyle w:val="Normal"/>
              <w:spacing w:lineRule="atLeast" w:line="10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22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58" w:type="dxa"/>
            </w:tcMar>
            <w:vAlign w:val="center"/>
          </w:tcPr>
          <w:p>
            <w:pPr>
              <w:pStyle w:val="Normal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Е.Н. Жданова </w:t>
            </w:r>
          </w:p>
        </w:tc>
        <w:tc>
          <w:tcPr>
            <w:tcW w:w="4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58" w:type="dxa"/>
            </w:tcMar>
            <w:vAlign w:val="center"/>
          </w:tcPr>
          <w:p>
            <w:pPr>
              <w:pStyle w:val="Normal"/>
              <w:spacing w:lineRule="atLeast" w:line="10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22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58" w:type="dxa"/>
            </w:tcMar>
            <w:vAlign w:val="center"/>
          </w:tcPr>
          <w:p>
            <w:pPr>
              <w:pStyle w:val="Normal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М.Н. Монастырёва</w:t>
            </w:r>
          </w:p>
        </w:tc>
        <w:tc>
          <w:tcPr>
            <w:tcW w:w="4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58" w:type="dxa"/>
            </w:tcMar>
            <w:vAlign w:val="center"/>
          </w:tcPr>
          <w:p>
            <w:pPr>
              <w:pStyle w:val="Normal"/>
              <w:spacing w:lineRule="atLeast" w:line="10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</w:tr>
    </w:tbl>
    <w:p>
      <w:pPr>
        <w:pStyle w:val="Normal"/>
        <w:ind w:left="0" w:right="0" w:firstLine="720"/>
        <w:jc w:val="both"/>
        <w:rPr/>
      </w:pPr>
      <w:r>
        <w:rPr/>
      </w:r>
    </w:p>
    <w:p>
      <w:pPr>
        <w:pStyle w:val="Normal"/>
        <w:ind w:left="0" w:right="0" w:firstLine="720"/>
        <w:jc w:val="both"/>
        <w:rPr/>
      </w:pPr>
      <w:r>
        <w:rPr>
          <w:rFonts w:eastAsia="Times New Roman" w:cs="Times New Roman"/>
          <w:sz w:val="20"/>
          <w:szCs w:val="20"/>
          <w:lang w:eastAsia="ru-RU"/>
        </w:rPr>
        <w:t>В связи с тем, что по окончанию срока подачи заявок на участие в аукционе в электронной форме подана только</w:t>
      </w:r>
      <w:r>
        <w:rPr>
          <w:rFonts w:eastAsia="Times New Roman" w:cs="Times New Roman"/>
          <w:sz w:val="20"/>
          <w:szCs w:val="20"/>
          <w:shd w:fill="FFFFFF" w:val="clear"/>
          <w:lang w:eastAsia="ru-RU"/>
        </w:rPr>
        <w:t xml:space="preserve"> одна заявка, </w:t>
      </w:r>
      <w:r>
        <w:rPr>
          <w:rFonts w:eastAsia="Times New Roman" w:cs="Times New Roman"/>
          <w:sz w:val="20"/>
          <w:szCs w:val="20"/>
          <w:lang w:eastAsia="ru-RU"/>
        </w:rPr>
        <w:t xml:space="preserve">аукцион в электронной форме на право </w:t>
      </w:r>
      <w:r>
        <w:rPr>
          <w:rFonts w:eastAsia="Times New Roman" w:cs="Times New Roman"/>
          <w:b w:val="false"/>
          <w:bCs w:val="false"/>
          <w:color w:val="000000"/>
          <w:sz w:val="20"/>
          <w:szCs w:val="20"/>
          <w:lang w:eastAsia="ru-RU"/>
        </w:rPr>
        <w:t xml:space="preserve">заключения контракта  </w:t>
      </w:r>
      <w:r>
        <w:rPr>
          <w:rStyle w:val="FontStyle17"/>
          <w:rFonts w:eastAsia="Times New Roman" w:cs="Times New Roman"/>
          <w:b w:val="false"/>
          <w:bCs w:val="false"/>
          <w:color w:val="000000"/>
          <w:sz w:val="20"/>
          <w:szCs w:val="20"/>
          <w:shd w:fill="FFFFFF" w:val="clear"/>
          <w:lang w:val="ru-RU" w:eastAsia="ru-RU" w:bidi="ar-SA"/>
        </w:rPr>
        <w:t>О</w:t>
      </w:r>
      <w:r>
        <w:rPr>
          <w:rStyle w:val="FontStyle17"/>
          <w:rFonts w:eastAsia="Times New Roman" w:cs="Times New Roman"/>
          <w:b w:val="false"/>
          <w:bCs w:val="false"/>
          <w:color w:val="000000"/>
          <w:sz w:val="20"/>
          <w:szCs w:val="20"/>
          <w:shd w:fill="FAFAFA" w:val="clear"/>
          <w:lang w:val="ru-RU" w:eastAsia="ru-RU" w:bidi="ar-SA"/>
        </w:rPr>
        <w:t>бластным бюджетным учреждением здравоохранения «Курский городской клинический родильн</w:t>
      </w:r>
      <w:r>
        <w:rPr>
          <w:rStyle w:val="FontStyle17"/>
          <w:rFonts w:eastAsia="Times New Roman" w:cs="Times New Roman"/>
          <w:b w:val="false"/>
          <w:bCs w:val="false"/>
          <w:color w:val="000000"/>
          <w:sz w:val="20"/>
          <w:szCs w:val="20"/>
          <w:shd w:fill="FFFFFF" w:val="clear"/>
          <w:lang w:val="ru-RU" w:eastAsia="ru-RU" w:bidi="ar-SA"/>
        </w:rPr>
        <w:t xml:space="preserve">ый дом» на оказание услуг по обслуживанию дизельной электростанции ЭД-100-Т400-2РН </w:t>
      </w:r>
      <w:r>
        <w:rPr>
          <w:rFonts w:eastAsia="Times New Roman" w:cs="Times New Roman"/>
          <w:b w:val="false"/>
          <w:bCs w:val="false"/>
          <w:sz w:val="20"/>
          <w:szCs w:val="20"/>
          <w:shd w:fill="FFFFFF" w:val="clear"/>
          <w:lang w:eastAsia="ru-RU"/>
        </w:rPr>
        <w:t xml:space="preserve"> признается несостоявшимся.</w:t>
      </w:r>
    </w:p>
    <w:p>
      <w:pPr>
        <w:pStyle w:val="Normal"/>
        <w:ind w:left="0" w:right="0" w:firstLine="720"/>
        <w:jc w:val="both"/>
        <w:rPr/>
      </w:pPr>
      <w:r>
        <w:rPr/>
      </w:r>
    </w:p>
    <w:p>
      <w:pPr>
        <w:pStyle w:val="Normal"/>
        <w:ind w:left="0" w:right="0" w:firstLine="720"/>
        <w:jc w:val="both"/>
        <w:rPr/>
      </w:pPr>
      <w:r>
        <w:rPr>
          <w:rStyle w:val="Style17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ind w:left="0" w:right="0" w:firstLine="720"/>
        <w:jc w:val="both"/>
        <w:rPr/>
      </w:pPr>
      <w:r>
        <w:rPr/>
      </w:r>
    </w:p>
    <w:p>
      <w:pPr>
        <w:pStyle w:val="Normal"/>
        <w:ind w:left="0" w:right="0" w:firstLine="720"/>
        <w:jc w:val="both"/>
        <w:rPr/>
      </w:pPr>
      <w:r>
        <w:rPr/>
      </w:r>
    </w:p>
    <w:tbl>
      <w:tblPr>
        <w:tblW w:w="9085" w:type="dxa"/>
        <w:jc w:val="left"/>
        <w:tblInd w:w="273" w:type="dxa"/>
        <w:tblBorders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08"/>
        <w:gridCol w:w="1876"/>
      </w:tblGrid>
      <w:tr>
        <w:trPr>
          <w:trHeight w:val="568" w:hRule="atLeast"/>
        </w:trPr>
        <w:tc>
          <w:tcPr>
            <w:tcW w:w="7208" w:type="dxa"/>
            <w:tcBorders/>
            <w:shd w:fill="auto" w:val="clear"/>
          </w:tcPr>
          <w:p>
            <w:pPr>
              <w:pStyle w:val="Style25"/>
              <w:spacing w:before="28" w:after="28"/>
              <w:ind w:left="0" w:right="0" w:hanging="0"/>
              <w:jc w:val="both"/>
              <w:rPr/>
            </w:pPr>
            <w:r>
              <w:rPr>
                <w:rStyle w:val="Style17"/>
                <w:rFonts w:cs="Times New Roman"/>
                <w:sz w:val="20"/>
                <w:szCs w:val="20"/>
              </w:rPr>
              <w:t>Председатель комиссии:</w:t>
            </w:r>
          </w:p>
          <w:p>
            <w:pPr>
              <w:pStyle w:val="Style25"/>
              <w:spacing w:before="28" w:after="28"/>
              <w:ind w:left="0" w:right="0" w:hanging="0"/>
              <w:jc w:val="both"/>
              <w:rPr/>
            </w:pPr>
            <w:r>
              <w:rPr/>
            </w:r>
          </w:p>
        </w:tc>
        <w:tc>
          <w:tcPr>
            <w:tcW w:w="1876" w:type="dxa"/>
            <w:tcBorders/>
            <w:shd w:fill="auto" w:val="clear"/>
          </w:tcPr>
          <w:p>
            <w:pPr>
              <w:pStyle w:val="Normal"/>
              <w:ind w:left="0" w:right="0" w:hanging="0"/>
              <w:jc w:val="both"/>
              <w:rPr/>
            </w:pPr>
            <w:r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  <w:t>А. Н. Полторацкий</w:t>
            </w:r>
          </w:p>
        </w:tc>
      </w:tr>
      <w:tr>
        <w:trPr>
          <w:trHeight w:val="396" w:hRule="atLeast"/>
        </w:trPr>
        <w:tc>
          <w:tcPr>
            <w:tcW w:w="7208" w:type="dxa"/>
            <w:tcBorders/>
            <w:shd w:fill="auto" w:val="clear"/>
          </w:tcPr>
          <w:p>
            <w:pPr>
              <w:pStyle w:val="Style25"/>
              <w:spacing w:before="28" w:after="28"/>
              <w:ind w:left="0" w:right="0" w:hanging="0"/>
              <w:jc w:val="both"/>
              <w:rPr/>
            </w:pPr>
            <w:r>
              <w:rPr>
                <w:rStyle w:val="Style17"/>
                <w:sz w:val="20"/>
                <w:szCs w:val="20"/>
              </w:rPr>
              <w:t>Секретарь комиссии:</w:t>
            </w:r>
          </w:p>
          <w:p>
            <w:pPr>
              <w:pStyle w:val="Style25"/>
              <w:spacing w:before="28" w:after="28"/>
              <w:ind w:left="0" w:right="0" w:hanging="0"/>
              <w:jc w:val="both"/>
              <w:rPr/>
            </w:pPr>
            <w:r>
              <w:rPr/>
            </w:r>
          </w:p>
        </w:tc>
        <w:tc>
          <w:tcPr>
            <w:tcW w:w="187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  <w:t>А. С. Костина</w:t>
            </w:r>
          </w:p>
        </w:tc>
      </w:tr>
      <w:tr>
        <w:trPr>
          <w:trHeight w:val="395" w:hRule="atLeast"/>
        </w:trPr>
        <w:tc>
          <w:tcPr>
            <w:tcW w:w="7208" w:type="dxa"/>
            <w:tcBorders/>
            <w:shd w:fill="auto" w:val="clear"/>
          </w:tcPr>
          <w:p>
            <w:pPr>
              <w:pStyle w:val="Style25"/>
              <w:spacing w:before="28" w:after="28"/>
              <w:ind w:left="0" w:right="0" w:hanging="0"/>
              <w:jc w:val="both"/>
              <w:rPr/>
            </w:pPr>
            <w:r>
              <w:rPr>
                <w:rStyle w:val="Style17"/>
                <w:sz w:val="20"/>
                <w:szCs w:val="20"/>
              </w:rPr>
              <w:t>Члены аукционной комиссии:</w:t>
            </w:r>
          </w:p>
          <w:p>
            <w:pPr>
              <w:pStyle w:val="Style25"/>
              <w:spacing w:before="28" w:after="28"/>
              <w:ind w:left="0" w:right="0" w:hanging="0"/>
              <w:jc w:val="both"/>
              <w:rPr/>
            </w:pPr>
            <w:r>
              <w:rPr/>
            </w:r>
          </w:p>
        </w:tc>
        <w:tc>
          <w:tcPr>
            <w:tcW w:w="1876" w:type="dxa"/>
            <w:tcBorders/>
            <w:shd w:fill="auto" w:val="clear"/>
          </w:tcPr>
          <w:p>
            <w:pPr>
              <w:pStyle w:val="Normal"/>
              <w:spacing w:lineRule="atLeast" w:line="100" w:before="0" w:after="0"/>
              <w:rPr/>
            </w:pPr>
            <w:r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  <w:t>Ю.М. Маслова</w:t>
            </w:r>
          </w:p>
        </w:tc>
      </w:tr>
      <w:tr>
        <w:trPr>
          <w:trHeight w:val="396" w:hRule="atLeast"/>
        </w:trPr>
        <w:tc>
          <w:tcPr>
            <w:tcW w:w="7208" w:type="dxa"/>
            <w:tcBorders/>
            <w:shd w:fill="auto" w:val="clear"/>
          </w:tcPr>
          <w:p>
            <w:pPr>
              <w:pStyle w:val="Style25"/>
              <w:spacing w:before="28" w:after="28"/>
              <w:ind w:left="0" w:right="0" w:hanging="0"/>
              <w:jc w:val="both"/>
              <w:rPr/>
            </w:pPr>
            <w:r>
              <w:rPr/>
            </w:r>
          </w:p>
        </w:tc>
        <w:tc>
          <w:tcPr>
            <w:tcW w:w="1876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Е.Н. Жданова </w:t>
            </w:r>
          </w:p>
        </w:tc>
      </w:tr>
      <w:tr>
        <w:trPr>
          <w:trHeight w:val="514" w:hRule="atLeast"/>
        </w:trPr>
        <w:tc>
          <w:tcPr>
            <w:tcW w:w="7208" w:type="dxa"/>
            <w:tcBorders/>
            <w:shd w:fill="auto" w:val="clear"/>
          </w:tcPr>
          <w:p>
            <w:pPr>
              <w:pStyle w:val="Style25"/>
              <w:spacing w:before="28" w:after="28"/>
              <w:ind w:left="0" w:right="0" w:hanging="0"/>
              <w:jc w:val="both"/>
              <w:rPr/>
            </w:pPr>
            <w:r>
              <w:rPr/>
            </w:r>
          </w:p>
        </w:tc>
        <w:tc>
          <w:tcPr>
            <w:tcW w:w="1876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М.Н. Монастырёва</w:t>
            </w:r>
          </w:p>
        </w:tc>
      </w:tr>
    </w:tbl>
    <w:p>
      <w:pPr>
        <w:pStyle w:val="Style41"/>
        <w:widowControl/>
        <w:jc w:val="both"/>
        <w:rPr/>
      </w:pPr>
      <w:r>
        <w:rPr/>
      </w:r>
    </w:p>
    <w:sectPr>
      <w:type w:val="nextPage"/>
      <w:pgSz w:w="11906" w:h="16838"/>
      <w:pgMar w:left="1335" w:right="1335" w:header="0" w:top="1012" w:footer="0" w:bottom="851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ahoma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20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  <w:bidi w:val="0"/>
      <w:spacing w:lineRule="atLeast" w:line="100" w:before="0" w:after="0"/>
      <w:jc w:val="left"/>
    </w:pPr>
    <w:rPr>
      <w:rFonts w:ascii="Times New Roman" w:hAnsi="Times New Roman" w:eastAsia="Times New Roman" w:cs="Times New Roman"/>
      <w:color w:val="00000A"/>
      <w:sz w:val="24"/>
      <w:szCs w:val="24"/>
      <w:lang w:val="ru-RU" w:eastAsia="ru-RU" w:bidi="ar-SA"/>
    </w:rPr>
  </w:style>
  <w:style w:type="character" w:styleId="DefaultParagraphFont">
    <w:name w:val="Default Paragraph Font"/>
    <w:qFormat/>
    <w:rPr/>
  </w:style>
  <w:style w:type="character" w:styleId="FontStyle17">
    <w:name w:val="Font Style17"/>
    <w:basedOn w:val="DefaultParagraphFont"/>
    <w:qFormat/>
    <w:rPr>
      <w:rFonts w:ascii="Times New Roman" w:hAnsi="Times New Roman" w:cs="Times New Roman"/>
      <w:b/>
      <w:bCs/>
      <w:sz w:val="24"/>
      <w:szCs w:val="24"/>
    </w:rPr>
  </w:style>
  <w:style w:type="character" w:styleId="FontStyle18">
    <w:name w:val="Font Style18"/>
    <w:basedOn w:val="DefaultParagraphFont"/>
    <w:qFormat/>
    <w:rPr>
      <w:rFonts w:ascii="Times New Roman" w:hAnsi="Times New Roman" w:cs="Times New Roman"/>
      <w:b/>
      <w:bCs/>
      <w:sz w:val="18"/>
      <w:szCs w:val="18"/>
    </w:rPr>
  </w:style>
  <w:style w:type="character" w:styleId="FontStyle20">
    <w:name w:val="Font Style20"/>
    <w:basedOn w:val="DefaultParagraphFont"/>
    <w:qFormat/>
    <w:rPr>
      <w:rFonts w:ascii="Times New Roman" w:hAnsi="Times New Roman" w:cs="Times New Roman"/>
      <w:sz w:val="18"/>
      <w:szCs w:val="18"/>
    </w:rPr>
  </w:style>
  <w:style w:type="character" w:styleId="Style14">
    <w:name w:val="Название Знак"/>
    <w:basedOn w:val="DefaultParagraphFont"/>
    <w:qFormat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FontStyle13">
    <w:name w:val="Font Style13"/>
    <w:basedOn w:val="DefaultParagraphFont"/>
    <w:qFormat/>
    <w:rPr>
      <w:rFonts w:ascii="Times New Roman" w:hAnsi="Times New Roman" w:cs="Times New Roman"/>
      <w:sz w:val="26"/>
      <w:szCs w:val="26"/>
    </w:rPr>
  </w:style>
  <w:style w:type="character" w:styleId="Style15">
    <w:name w:val="Основной текст с отступом Знак"/>
    <w:basedOn w:val="DefaultParagraphFont"/>
    <w:qFormat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2">
    <w:name w:val="Основной текст с отступом 2 Знак"/>
    <w:basedOn w:val="DefaultParagraphFont"/>
    <w:qFormat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ConsPlusNormal">
    <w:name w:val="ConsPlusNormal Знак"/>
    <w:qFormat/>
    <w:rPr>
      <w:rFonts w:ascii="Arial" w:hAnsi="Arial" w:eastAsia="Times New Roman" w:cs="Arial"/>
      <w:sz w:val="20"/>
      <w:szCs w:val="20"/>
      <w:lang w:eastAsia="ru-RU"/>
    </w:rPr>
  </w:style>
  <w:style w:type="character" w:styleId="Style16">
    <w:name w:val="Выделение"/>
    <w:rPr>
      <w:i/>
      <w:iCs/>
    </w:rPr>
  </w:style>
  <w:style w:type="character" w:styleId="Rserrhl1">
    <w:name w:val="rs_err_hl1"/>
    <w:basedOn w:val="DefaultParagraphFont"/>
    <w:qFormat/>
    <w:rPr/>
  </w:style>
  <w:style w:type="character" w:styleId="Style17">
    <w:name w:val="Интернет-ссылка"/>
    <w:basedOn w:val="DefaultParagraphFont"/>
    <w:rPr>
      <w:color w:val="0000FF"/>
      <w:u w:val="single"/>
      <w:lang w:val="zxx" w:eastAsia="zxx" w:bidi="zxx"/>
    </w:rPr>
  </w:style>
  <w:style w:type="character" w:styleId="Style18">
    <w:name w:val="Без интервала Знак"/>
    <w:qFormat/>
    <w:rPr>
      <w:rFonts w:ascii="Times New Roman" w:hAnsi="Times New Roman" w:eastAsia="Times New Roman" w:cs="Times New Roman"/>
      <w:sz w:val="28"/>
      <w:szCs w:val="28"/>
      <w:lang w:eastAsia="ru-RU"/>
    </w:rPr>
  </w:style>
  <w:style w:type="character" w:styleId="Style19">
    <w:name w:val="Выделение жирным"/>
    <w:basedOn w:val="DefaultParagraphFont"/>
    <w:rPr>
      <w:b/>
      <w:bCs/>
    </w:rPr>
  </w:style>
  <w:style w:type="character" w:styleId="1">
    <w:name w:val="Обычный (веб) Знак1"/>
    <w:qFormat/>
    <w:rPr>
      <w:rFonts w:ascii="Times New Roman" w:hAnsi="Times New Roman" w:eastAsia="Times New Roman" w:cs="Times New Roman"/>
      <w:sz w:val="24"/>
      <w:szCs w:val="24"/>
    </w:rPr>
  </w:style>
  <w:style w:type="character" w:styleId="CITE">
    <w:name w:val="CITE"/>
    <w:qFormat/>
    <w:rPr>
      <w:i/>
    </w:rPr>
  </w:style>
  <w:style w:type="character" w:styleId="CODE">
    <w:name w:val="CODE"/>
    <w:qFormat/>
    <w:rPr>
      <w:rFonts w:ascii="Courier New" w:hAnsi="Courier New"/>
      <w:sz w:val="20"/>
    </w:rPr>
  </w:style>
  <w:style w:type="character" w:styleId="Keyboard">
    <w:name w:val="Keyboard"/>
    <w:qFormat/>
    <w:rPr>
      <w:rFonts w:ascii="Courier New" w:hAnsi="Courier New"/>
      <w:b/>
      <w:sz w:val="20"/>
    </w:rPr>
  </w:style>
  <w:style w:type="character" w:styleId="Sample">
    <w:name w:val="Sample"/>
    <w:qFormat/>
    <w:rPr>
      <w:rFonts w:ascii="Courier New" w:hAnsi="Courier New"/>
    </w:rPr>
  </w:style>
  <w:style w:type="character" w:styleId="Typewriter">
    <w:name w:val="Typewriter"/>
    <w:qFormat/>
    <w:rPr>
      <w:rFonts w:ascii="Courier New" w:hAnsi="Courier New"/>
      <w:sz w:val="20"/>
    </w:rPr>
  </w:style>
  <w:style w:type="character" w:styleId="HTMLMarkup">
    <w:name w:val="HTML Markup"/>
    <w:qFormat/>
    <w:rPr>
      <w:vanish/>
      <w:color w:val="FF0000"/>
    </w:rPr>
  </w:style>
  <w:style w:type="character" w:styleId="Comment">
    <w:name w:val="Comment"/>
    <w:qFormat/>
    <w:rPr>
      <w:vanish/>
    </w:rPr>
  </w:style>
  <w:style w:type="paragraph" w:styleId="Style20">
    <w:name w:val="Заголовок"/>
    <w:basedOn w:val="Normal"/>
    <w:next w:val="Style21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21">
    <w:name w:val="Основной текст"/>
    <w:basedOn w:val="Normal"/>
    <w:pPr>
      <w:spacing w:lineRule="auto" w:line="276" w:before="0" w:after="140"/>
    </w:pPr>
    <w:rPr/>
  </w:style>
  <w:style w:type="paragraph" w:styleId="Style22">
    <w:name w:val="Список"/>
    <w:basedOn w:val="Style21"/>
    <w:pPr/>
    <w:rPr>
      <w:rFonts w:cs="Arial"/>
    </w:rPr>
  </w:style>
  <w:style w:type="paragraph" w:styleId="Style23">
    <w:name w:val="Название"/>
    <w:basedOn w:val="Normal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4">
    <w:name w:val="Указатель"/>
    <w:basedOn w:val="Normal"/>
    <w:qFormat/>
    <w:pPr>
      <w:suppressLineNumbers/>
    </w:pPr>
    <w:rPr>
      <w:rFonts w:cs="Arial"/>
    </w:rPr>
  </w:style>
  <w:style w:type="paragraph" w:styleId="Style41">
    <w:name w:val="Style4"/>
    <w:basedOn w:val="Normal"/>
    <w:qFormat/>
    <w:pPr/>
    <w:rPr/>
  </w:style>
  <w:style w:type="paragraph" w:styleId="Style51">
    <w:name w:val="Style5"/>
    <w:basedOn w:val="Normal"/>
    <w:qFormat/>
    <w:pPr>
      <w:spacing w:lineRule="exact" w:line="300"/>
      <w:jc w:val="center"/>
    </w:pPr>
    <w:rPr/>
  </w:style>
  <w:style w:type="paragraph" w:styleId="Style61">
    <w:name w:val="Style6"/>
    <w:basedOn w:val="Normal"/>
    <w:qFormat/>
    <w:pPr/>
    <w:rPr/>
  </w:style>
  <w:style w:type="paragraph" w:styleId="Style71">
    <w:name w:val="Style7"/>
    <w:basedOn w:val="Normal"/>
    <w:qFormat/>
    <w:pPr>
      <w:spacing w:lineRule="exact" w:line="230"/>
      <w:jc w:val="center"/>
    </w:pPr>
    <w:rPr/>
  </w:style>
  <w:style w:type="paragraph" w:styleId="Style81">
    <w:name w:val="Style8"/>
    <w:basedOn w:val="Normal"/>
    <w:qFormat/>
    <w:pPr>
      <w:spacing w:lineRule="exact" w:line="298"/>
      <w:ind w:left="0" w:right="0" w:firstLine="168"/>
      <w:jc w:val="both"/>
    </w:pPr>
    <w:rPr/>
  </w:style>
  <w:style w:type="paragraph" w:styleId="Style91">
    <w:name w:val="Style9"/>
    <w:basedOn w:val="Normal"/>
    <w:qFormat/>
    <w:pPr/>
    <w:rPr/>
  </w:style>
  <w:style w:type="paragraph" w:styleId="Style25">
    <w:name w:val="Заглавие"/>
    <w:basedOn w:val="Normal"/>
    <w:pPr>
      <w:widowControl/>
      <w:spacing w:before="28" w:after="28"/>
    </w:pPr>
    <w:rPr>
      <w:color w:val="000000"/>
    </w:rPr>
  </w:style>
  <w:style w:type="paragraph" w:styleId="Style26">
    <w:name w:val="Основной текст с отступом"/>
    <w:basedOn w:val="Normal"/>
    <w:pPr>
      <w:widowControl/>
      <w:spacing w:before="28" w:after="28"/>
    </w:pPr>
    <w:rPr>
      <w:color w:val="000000"/>
    </w:rPr>
  </w:style>
  <w:style w:type="paragraph" w:styleId="BodyTextIndent2">
    <w:name w:val="Body Text Indent 2"/>
    <w:basedOn w:val="Normal"/>
    <w:qFormat/>
    <w:pPr>
      <w:spacing w:lineRule="auto" w:line="480" w:before="0" w:after="120"/>
      <w:ind w:left="283" w:right="0" w:hanging="0"/>
    </w:pPr>
    <w:rPr/>
  </w:style>
  <w:style w:type="paragraph" w:styleId="ConsPlusNormal1">
    <w:name w:val="ConsPlusNormal"/>
    <w:qFormat/>
    <w:pPr>
      <w:widowControl w:val="false"/>
      <w:suppressAutoHyphens w:val="true"/>
      <w:bidi w:val="0"/>
      <w:spacing w:lineRule="atLeast" w:line="100" w:before="0" w:after="0"/>
      <w:ind w:left="0" w:right="0" w:firstLine="720"/>
      <w:jc w:val="left"/>
    </w:pPr>
    <w:rPr>
      <w:rFonts w:ascii="Arial" w:hAnsi="Arial" w:eastAsia="Times New Roman" w:cs="Arial"/>
      <w:color w:val="00000A"/>
      <w:sz w:val="20"/>
      <w:szCs w:val="20"/>
      <w:lang w:val="ru-RU" w:eastAsia="ru-RU" w:bidi="ar-SA"/>
    </w:rPr>
  </w:style>
  <w:style w:type="paragraph" w:styleId="NoSpacing">
    <w:name w:val="No Spacing"/>
    <w:qFormat/>
    <w:pPr>
      <w:widowControl/>
      <w:suppressAutoHyphens w:val="true"/>
      <w:bidi w:val="0"/>
      <w:spacing w:lineRule="atLeast" w:line="100" w:before="0" w:after="0"/>
      <w:ind w:left="0" w:right="0" w:firstLine="567"/>
      <w:jc w:val="both"/>
    </w:pPr>
    <w:rPr>
      <w:rFonts w:ascii="Times New Roman" w:hAnsi="Times New Roman" w:eastAsia="Times New Roman" w:cs="Times New Roman"/>
      <w:color w:val="00000A"/>
      <w:sz w:val="28"/>
      <w:szCs w:val="28"/>
      <w:lang w:val="ru-RU" w:eastAsia="ru-RU" w:bidi="ar-SA"/>
    </w:rPr>
  </w:style>
  <w:style w:type="paragraph" w:styleId="21">
    <w:name w:val="Обычный2"/>
    <w:qFormat/>
    <w:pPr>
      <w:widowControl/>
      <w:suppressAutoHyphens w:val="true"/>
      <w:bidi w:val="0"/>
      <w:spacing w:lineRule="atLeast" w:line="100" w:before="0" w:after="0"/>
      <w:jc w:val="left"/>
    </w:pPr>
    <w:rPr>
      <w:rFonts w:ascii="Times New Roman" w:hAnsi="Times New Roman" w:eastAsia="Times New Roman" w:cs="Times New Roman"/>
      <w:color w:val="00000A"/>
      <w:sz w:val="20"/>
      <w:szCs w:val="20"/>
      <w:lang w:val="ru-RU" w:eastAsia="ru-RU" w:bidi="ar-SA"/>
    </w:rPr>
  </w:style>
  <w:style w:type="paragraph" w:styleId="Style27">
    <w:name w:val="Пункт"/>
    <w:basedOn w:val="Normal"/>
    <w:qFormat/>
    <w:pPr>
      <w:widowControl/>
      <w:tabs>
        <w:tab w:val="left" w:pos="3384" w:leader="none"/>
      </w:tabs>
      <w:ind w:left="1404" w:right="0" w:hanging="504"/>
      <w:jc w:val="both"/>
    </w:pPr>
    <w:rPr/>
  </w:style>
  <w:style w:type="paragraph" w:styleId="NormalWeb">
    <w:name w:val="Normal (Web)"/>
    <w:basedOn w:val="Normal"/>
    <w:qFormat/>
    <w:pPr>
      <w:widowControl/>
      <w:spacing w:before="28" w:after="119"/>
    </w:pPr>
    <w:rPr/>
  </w:style>
  <w:style w:type="paragraph" w:styleId="Style28">
    <w:name w:val="Содержимое таблицы"/>
    <w:basedOn w:val="Normal"/>
    <w:qFormat/>
    <w:pPr>
      <w:suppressLineNumbers/>
      <w:suppressAutoHyphens w:val="true"/>
    </w:pPr>
    <w:rPr>
      <w:rFonts w:eastAsia="Droid Sans Fallback" w:cs="Lohit Hindi"/>
      <w:sz w:val="28"/>
      <w:lang w:eastAsia="zh-CN" w:bidi="hi-IN"/>
    </w:rPr>
  </w:style>
  <w:style w:type="paragraph" w:styleId="Style29">
    <w:name w:val="Обычный"/>
    <w:qFormat/>
    <w:pPr>
      <w:widowControl/>
      <w:suppressAutoHyphens w:val="true"/>
      <w:bidi w:val="0"/>
      <w:spacing w:lineRule="auto" w:line="276" w:before="100" w:after="100"/>
      <w:jc w:val="left"/>
    </w:pPr>
    <w:rPr>
      <w:rFonts w:ascii="Times New Roman" w:hAnsi="Times New Roman" w:eastAsia="Arial" w:cs="Courier New"/>
      <w:color w:val="00000A"/>
      <w:sz w:val="24"/>
      <w:szCs w:val="24"/>
      <w:lang w:val="ru-RU" w:eastAsia="en-US" w:bidi="ar-SA"/>
    </w:rPr>
  </w:style>
  <w:style w:type="paragraph" w:styleId="DefinitionTerm">
    <w:name w:val="Definition Term"/>
    <w:basedOn w:val="Style29"/>
    <w:qFormat/>
    <w:pPr/>
    <w:rPr/>
  </w:style>
  <w:style w:type="paragraph" w:styleId="DefinitionList">
    <w:name w:val="Definition List"/>
    <w:basedOn w:val="Style29"/>
    <w:qFormat/>
    <w:pPr>
      <w:ind w:left="360" w:right="0" w:hanging="0"/>
    </w:pPr>
    <w:rPr/>
  </w:style>
  <w:style w:type="paragraph" w:styleId="H1">
    <w:name w:val="H1"/>
    <w:basedOn w:val="Style29"/>
    <w:qFormat/>
    <w:pPr>
      <w:keepNext/>
      <w:spacing w:before="100" w:after="100"/>
    </w:pPr>
    <w:rPr>
      <w:b/>
      <w:sz w:val="48"/>
    </w:rPr>
  </w:style>
  <w:style w:type="paragraph" w:styleId="H2">
    <w:name w:val="H2"/>
    <w:basedOn w:val="Style29"/>
    <w:qFormat/>
    <w:pPr>
      <w:keepNext/>
      <w:spacing w:before="100" w:after="100"/>
    </w:pPr>
    <w:rPr>
      <w:b/>
      <w:sz w:val="36"/>
    </w:rPr>
  </w:style>
  <w:style w:type="paragraph" w:styleId="H3">
    <w:name w:val="H3"/>
    <w:basedOn w:val="Style29"/>
    <w:qFormat/>
    <w:pPr>
      <w:keepNext/>
      <w:spacing w:before="100" w:after="100"/>
    </w:pPr>
    <w:rPr>
      <w:b/>
      <w:sz w:val="28"/>
    </w:rPr>
  </w:style>
  <w:style w:type="paragraph" w:styleId="H4">
    <w:name w:val="H4"/>
    <w:basedOn w:val="Style29"/>
    <w:qFormat/>
    <w:pPr>
      <w:keepNext/>
      <w:spacing w:before="100" w:after="100"/>
    </w:pPr>
    <w:rPr>
      <w:b/>
      <w:sz w:val="24"/>
    </w:rPr>
  </w:style>
  <w:style w:type="paragraph" w:styleId="H5">
    <w:name w:val="H5"/>
    <w:basedOn w:val="Style29"/>
    <w:qFormat/>
    <w:pPr>
      <w:keepNext/>
      <w:spacing w:before="100" w:after="100"/>
    </w:pPr>
    <w:rPr>
      <w:b/>
      <w:sz w:val="20"/>
    </w:rPr>
  </w:style>
  <w:style w:type="paragraph" w:styleId="H6">
    <w:name w:val="H6"/>
    <w:basedOn w:val="Style29"/>
    <w:qFormat/>
    <w:pPr>
      <w:keepNext/>
      <w:spacing w:before="100" w:after="100"/>
    </w:pPr>
    <w:rPr>
      <w:b/>
      <w:sz w:val="16"/>
    </w:rPr>
  </w:style>
  <w:style w:type="paragraph" w:styleId="Address">
    <w:name w:val="Address"/>
    <w:basedOn w:val="Style29"/>
    <w:qFormat/>
    <w:pPr/>
    <w:rPr>
      <w:i/>
    </w:rPr>
  </w:style>
  <w:style w:type="paragraph" w:styleId="Blockquote">
    <w:name w:val="Blockquote"/>
    <w:basedOn w:val="Style29"/>
    <w:qFormat/>
    <w:pPr>
      <w:spacing w:before="100" w:after="100"/>
      <w:ind w:left="360" w:right="360" w:hanging="0"/>
    </w:pPr>
    <w:rPr/>
  </w:style>
  <w:style w:type="paragraph" w:styleId="Preformatted">
    <w:name w:val="Preformatted"/>
    <w:basedOn w:val="Style29"/>
    <w:qFormat/>
    <w:pPr>
      <w:tabs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  <w:spacing w:before="0" w:after="0"/>
    </w:pPr>
    <w:rPr>
      <w:rFonts w:ascii="Courier New" w:hAnsi="Courier New"/>
      <w:sz w:val="20"/>
    </w:rPr>
  </w:style>
  <w:style w:type="paragraph" w:styleId="ZBottomofForm">
    <w:name w:val="z-Bottom of Form"/>
    <w:qFormat/>
    <w:pPr>
      <w:widowControl/>
      <w:pBdr>
        <w:top w:val="double" w:sz="2" w:space="0" w:color="000001"/>
      </w:pBdr>
      <w:suppressAutoHyphens w:val="true"/>
      <w:bidi w:val="0"/>
      <w:spacing w:lineRule="auto" w:line="276" w:before="0" w:after="200"/>
      <w:jc w:val="center"/>
    </w:pPr>
    <w:rPr>
      <w:rFonts w:ascii="Arial" w:hAnsi="Arial" w:eastAsia="Arial" w:cs="Courier New"/>
      <w:vanish/>
      <w:color w:val="00000A"/>
      <w:sz w:val="16"/>
      <w:szCs w:val="24"/>
      <w:lang w:val="ru-RU" w:eastAsia="en-US" w:bidi="ar-SA"/>
    </w:rPr>
  </w:style>
  <w:style w:type="paragraph" w:styleId="ZTopofForm">
    <w:name w:val="z-Top of Form"/>
    <w:qFormat/>
    <w:pPr>
      <w:widowControl/>
      <w:pBdr>
        <w:bottom w:val="double" w:sz="2" w:space="0" w:color="000001"/>
      </w:pBdr>
      <w:suppressAutoHyphens w:val="true"/>
      <w:bidi w:val="0"/>
      <w:spacing w:lineRule="auto" w:line="276" w:before="0" w:after="200"/>
      <w:jc w:val="center"/>
    </w:pPr>
    <w:rPr>
      <w:rFonts w:ascii="Arial" w:hAnsi="Arial" w:eastAsia="Arial" w:cs="Courier New"/>
      <w:vanish/>
      <w:color w:val="00000A"/>
      <w:sz w:val="16"/>
      <w:szCs w:val="24"/>
      <w:lang w:val="ru-RU" w:eastAsia="en-US" w:bidi="ar-SA"/>
    </w:rPr>
  </w:style>
  <w:style w:type="paragraph" w:styleId="Style30">
    <w:name w:val="Заголовок таблицы"/>
    <w:basedOn w:val="Style28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gz.lot-online.ru/etp_front/organisation/view/111EE00C-3E60-40FE-B7C1-A73812EA900E?procedure=28813&amp;backurl=L3Byb2NlZHVyZS9wcm90b2NvbC9lZGl0P3Byb2NlZHVyZUlkPTI4ODEzJnR5cGU9RWxlY3Ryb25pY0F1Y3Rpb25TaW5nbGVSZXF1ZXN0RmluYWxQcm90b2NvbCZiYWNrdXJsPWFIUjBjSE02THk5bmVpNXNiM1F0YjI1c2FXNWxMbkoxTDJWMGNGOW1jbTl1ZEM5d2NtOWpaV1IxY21VdmJHbHpkRDl3WlhKemIyNWhiRDEwY25WbEpuQmhaMlU5TVRrbWMyOXlkRDB4Sm5OdmNuUkVhWEpsWTNScGIyNDlRVk5ESm14cGJXbDBQVEV3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12330</TotalTime>
  <Application>LibreOffice/4.4.2.2$Windows_x86 LibreOffice_project/c4c7d32d0d49397cad38d62472b0bc8acff48dd6</Application>
  <Paragraphs>54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2014-02-17T12:21:00Z</dcterms:created>
  <dc:creator>ZAK16</dc:creator>
  <dc:language>ru</dc:language>
  <cp:lastPrinted>2019-10-24T14:50:00Z</cp:lastPrinted>
  <dcterms:modified xsi:type="dcterms:W3CDTF">2020-11-19T14:56:27Z</dcterms:modified>
  <cp:revision>408</cp:revision>
</cp:coreProperties>
</file>