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 w:ascii="Times New Roman" w:hAnsi="Times New Roman"/>
          <w:b/>
          <w:bCs/>
          <w:caps w:val="false"/>
          <w:smallCaps w:val="false"/>
          <w:color w:val="000000"/>
          <w:spacing w:val="0"/>
          <w:sz w:val="20"/>
          <w:szCs w:val="20"/>
        </w:rPr>
        <w:t>№</w:t>
      </w:r>
      <w:r>
        <w:rPr>
          <w:rFonts w:eastAsia="Times New Roman" w:ascii="Times New Roman" w:hAnsi="Times New Roman"/>
          <w:b w:val="false"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03.2-4/578</w:t>
      </w: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информационных услуг с использованием экземпляров Системы Консультант 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 Плюс"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15.12.20 11:00:15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информационных услуг с использованием экземпляров Системы Консультант Плюс на основе специального лицензионного программного обеспечения, обеспечивающего совместимость информационных услуг с установленными у заказчика экземплярами Систем Консультант Плюс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202462901604146320100102080016203242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232 692,48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"ИНФО-КОМПЛЕКС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Бебешко Алексей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Дремов Александр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Елена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Ленивкин Виктор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477</Words>
  <Characters>3681</Characters>
  <CharactersWithSpaces>4084</CharactersWithSpaces>
  <Paragraphs>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2020-12-15T11:03:09Z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