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/>
        <w:overflowPunct w:val="true"/>
        <w:bidi w:val="0"/>
        <w:spacing w:before="0" w:after="0"/>
        <w:ind w:left="0" w:right="0" w:hanging="0"/>
        <w:jc w:val="center"/>
        <w:rPr/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подведения итогов электронного аукциона </w:t>
      </w:r>
      <w:r>
        <w:rPr>
          <w:rFonts w:eastAsia="Times New Roman"/>
          <w:b/>
          <w:bCs/>
          <w:sz w:val="20"/>
          <w:szCs w:val="20"/>
          <w:lang w:val="en-US"/>
        </w:rPr>
        <w:t>№ 0301200061920000116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tbl>
      <w:tblPr>
        <w:tblW w:w="10094" w:type="dxa"/>
        <w:jc w:val="left"/>
        <w:tblInd w:w="-683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5644"/>
        <w:gridCol w:w="4449"/>
      </w:tblGrid>
      <w:tr>
        <w:trPr/>
        <w:tc>
          <w:tcPr>
            <w:tcW w:w="5644" w:type="dxa"/>
            <w:tcBorders/>
            <w:shd w:fill="auto" w:val="clea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57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ru-RU"/>
              </w:rPr>
              <w:t>Место публикации: Российская Федерация, 450008, Республика Башкортостан, г. Уфа, ул. Пушкина, д. 90</w:t>
            </w:r>
          </w:p>
        </w:tc>
        <w:tc>
          <w:tcPr>
            <w:tcW w:w="4449" w:type="dxa"/>
            <w:tcBorders/>
            <w:shd w:fill="auto" w:val="clear"/>
          </w:tcPr>
          <w:p>
            <w:pPr>
              <w:pStyle w:val="Style25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Дата публикации: </w:t>
            </w:r>
            <w:r>
              <w:rPr>
                <w:rFonts w:eastAsia="Times New Roman"/>
                <w:sz w:val="20"/>
                <w:szCs w:val="20"/>
                <w:lang w:val="en-US"/>
              </w:rPr>
              <w:t>17.12.20 16:24:01 (MSK+02:00)</w:t>
            </w:r>
          </w:p>
        </w:tc>
      </w:tr>
    </w:tbl>
    <w:p>
      <w:pPr>
        <w:pStyle w:val="Normal"/>
        <w:ind w:hanging="0"/>
        <w:jc w:val="right"/>
        <w:rPr>
          <w:rFonts w:eastAsia="Times New Roman"/>
          <w:sz w:val="20"/>
          <w:szCs w:val="20"/>
          <w:lang w:val="ru-RU"/>
        </w:rPr>
      </w:pPr>
      <w:r>
        <w:rPr>
          <w:rFonts w:eastAsia="Times New Roman"/>
          <w:sz w:val="20"/>
          <w:szCs w:val="20"/>
          <w:lang w:val="ru-RU"/>
        </w:rPr>
      </w:r>
    </w:p>
    <w:p>
      <w:pPr>
        <w:pStyle w:val="Normal"/>
        <w:widowControl/>
        <w:numPr>
          <w:ilvl w:val="0"/>
          <w:numId w:val="1"/>
        </w:numPr>
        <w:tabs>
          <w:tab w:val="clear" w:pos="720"/>
          <w:tab w:val="left" w:pos="682" w:leader="none"/>
        </w:tabs>
        <w:overflowPunct w:val="true"/>
        <w:bidi w:val="0"/>
        <w:spacing w:before="0" w:after="0"/>
        <w:ind w:left="-567" w:right="0" w:hanging="340"/>
        <w:jc w:val="left"/>
        <w:rPr/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  <w:lang w:val="ru-RU"/>
        </w:rPr>
        <w:t>закупки</w:t>
      </w:r>
      <w:r>
        <w:rPr>
          <w:rFonts w:eastAsia="Times New Roman"/>
          <w:sz w:val="20"/>
          <w:szCs w:val="20"/>
          <w:lang w:val="en-US"/>
        </w:rPr>
        <w:t>: ГОСУДАРСТВЕННОЕ БЮДЖЕТНОЕ УЧРЕЖДЕНИЕ "УФИМСКИЙ НАУЧНО-ИССЛЕДОВАТЕЛЬСКИЙ ИНСТИТУТ ГЛАЗНЫХ БОЛЕЗНЕЙ АКАДЕМИИ НАУК РЕСПУБЛИКИ БАШКОРТОСТАН"</w:t>
      </w:r>
    </w:p>
    <w:p>
      <w:pPr>
        <w:pStyle w:val="Normal"/>
        <w:numPr>
          <w:ilvl w:val="0"/>
          <w:numId w:val="0"/>
        </w:numPr>
        <w:ind w:left="720" w:hanging="0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numPr>
          <w:ilvl w:val="0"/>
          <w:numId w:val="0"/>
        </w:numPr>
        <w:overflowPunct w:val="true"/>
        <w:bidi w:val="0"/>
        <w:spacing w:before="0" w:after="0"/>
        <w:ind w:left="-567" w:right="0" w:hanging="0"/>
        <w:jc w:val="left"/>
        <w:rPr/>
      </w:pPr>
      <w:r>
        <w:rPr>
          <w:rFonts w:eastAsia="Times New Roman"/>
          <w:sz w:val="20"/>
          <w:szCs w:val="20"/>
          <w:lang w:val="en-US"/>
        </w:rPr>
        <w:t>Заказчик: ГОСУДАРСТВЕННОЕ БЮДЖЕТНОЕ УЧРЕЖДЕНИЕ "УФИМСКИЙ НАУЧНО-ИССЛЕДОВАТЕЛЬСКИЙ ИНСТИТУТ ГЛАЗНЫХ БОЛЕЗНЕЙ АКАДЕМИИ НАУК РЕСПУБЛИКИ БАШКОРТОСТАН"</w:t>
      </w:r>
    </w:p>
    <w:p>
      <w:pPr>
        <w:pStyle w:val="Normal"/>
        <w:numPr>
          <w:ilvl w:val="0"/>
          <w:numId w:val="0"/>
        </w:numPr>
        <w:ind w:left="720" w:hanging="0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numPr>
          <w:ilvl w:val="0"/>
          <w:numId w:val="1"/>
        </w:numPr>
        <w:tabs>
          <w:tab w:val="clear" w:pos="720"/>
          <w:tab w:val="left" w:pos="177" w:leader="none"/>
        </w:tabs>
        <w:overflowPunct w:val="true"/>
        <w:bidi w:val="0"/>
        <w:spacing w:before="0" w:after="0"/>
        <w:ind w:left="-567" w:right="0" w:hanging="340"/>
        <w:jc w:val="left"/>
        <w:rPr/>
      </w:pPr>
      <w:r>
        <w:rPr>
          <w:rFonts w:eastAsia="Times New Roman"/>
          <w:sz w:val="20"/>
          <w:szCs w:val="20"/>
          <w:lang w:val="ru-RU"/>
        </w:rPr>
        <w:t xml:space="preserve">Идентификационный код закупки: </w:t>
      </w:r>
      <w:r>
        <w:rPr>
          <w:rFonts w:eastAsia="Times New Roman"/>
          <w:sz w:val="20"/>
          <w:szCs w:val="20"/>
          <w:lang w:val="en-US"/>
        </w:rPr>
        <w:t>202027401807002740100101961960000244</w:t>
      </w:r>
    </w:p>
    <w:p>
      <w:pPr>
        <w:pStyle w:val="Normal"/>
        <w:numPr>
          <w:ilvl w:val="0"/>
          <w:numId w:val="0"/>
        </w:numPr>
        <w:ind w:left="720" w:hanging="0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numPr>
          <w:ilvl w:val="0"/>
          <w:numId w:val="1"/>
        </w:numPr>
        <w:tabs>
          <w:tab w:val="clear" w:pos="720"/>
          <w:tab w:val="left" w:pos="232" w:leader="none"/>
        </w:tabs>
        <w:overflowPunct w:val="true"/>
        <w:bidi w:val="0"/>
        <w:spacing w:before="0" w:after="0"/>
        <w:ind w:left="-567" w:right="0" w:hanging="340"/>
        <w:jc w:val="left"/>
        <w:rPr/>
      </w:pPr>
      <w:r>
        <w:rPr>
          <w:rFonts w:eastAsia="Times New Roman"/>
          <w:sz w:val="20"/>
          <w:szCs w:val="20"/>
          <w:lang w:val="ru-RU"/>
        </w:rPr>
        <w:t xml:space="preserve">Наименование предмета электронного аукциона: </w:t>
      </w:r>
      <w:r>
        <w:rPr>
          <w:rFonts w:eastAsia="Times New Roman"/>
          <w:sz w:val="20"/>
          <w:szCs w:val="20"/>
          <w:lang w:val="en-US"/>
        </w:rPr>
        <w:t>Закупка облучателя-рециркулятора воздуха ультрафиолетового, бактерицидного</w:t>
      </w:r>
    </w:p>
    <w:p>
      <w:pPr>
        <w:pStyle w:val="Normal"/>
        <w:widowControl/>
        <w:numPr>
          <w:ilvl w:val="0"/>
          <w:numId w:val="0"/>
        </w:numPr>
        <w:overflowPunct w:val="true"/>
        <w:bidi w:val="0"/>
        <w:spacing w:before="0" w:after="0"/>
        <w:ind w:left="299" w:right="0" w:hanging="0"/>
        <w:jc w:val="left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numPr>
          <w:ilvl w:val="0"/>
          <w:numId w:val="1"/>
        </w:numPr>
        <w:tabs>
          <w:tab w:val="clear" w:pos="720"/>
          <w:tab w:val="left" w:pos="259" w:leader="none"/>
        </w:tabs>
        <w:overflowPunct w:val="true"/>
        <w:bidi w:val="0"/>
        <w:spacing w:before="0" w:after="0"/>
        <w:ind w:left="-567" w:right="0" w:hanging="340"/>
        <w:jc w:val="left"/>
        <w:rPr/>
      </w:pPr>
      <w:r>
        <w:rPr>
          <w:rFonts w:eastAsia="Times New Roman"/>
          <w:sz w:val="20"/>
          <w:szCs w:val="20"/>
        </w:rPr>
        <w:t>Начальная (максимальная) цена государственного контракта: 1 640 172,00 руб.</w:t>
      </w:r>
    </w:p>
    <w:p>
      <w:pPr>
        <w:pStyle w:val="Normal"/>
        <w:numPr>
          <w:ilvl w:val="0"/>
          <w:numId w:val="0"/>
        </w:numPr>
        <w:ind w:left="720" w:hanging="0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widowControl/>
        <w:numPr>
          <w:ilvl w:val="0"/>
          <w:numId w:val="1"/>
        </w:numPr>
        <w:tabs>
          <w:tab w:val="clear" w:pos="720"/>
          <w:tab w:val="left" w:pos="423" w:leader="none"/>
        </w:tabs>
        <w:overflowPunct w:val="true"/>
        <w:bidi w:val="0"/>
        <w:spacing w:before="0" w:after="0"/>
        <w:ind w:left="-567" w:right="0" w:hanging="340"/>
        <w:jc w:val="both"/>
        <w:rPr/>
      </w:pPr>
      <w:r>
        <w:rPr>
          <w:sz w:val="20"/>
          <w:szCs w:val="20"/>
        </w:rPr>
        <w:t xml:space="preserve">Извещение и аукционная документация о проведении электронного аукциона были размещены на Официальном сайте Российской Федерации для размещения информации о размещении заказов </w:t>
      </w:r>
      <w:hyperlink r:id="rId2">
        <w:r>
          <w:rPr>
            <w:rStyle w:val="Style18"/>
            <w:sz w:val="20"/>
            <w:szCs w:val="20"/>
            <w:lang w:val="ru-RU" w:eastAsia="en-US" w:bidi="ar-SA"/>
          </w:rPr>
          <w:t>http://zakupki.gov.ru/</w:t>
        </w:r>
      </w:hyperlink>
      <w:r>
        <w:rPr>
          <w:sz w:val="20"/>
          <w:szCs w:val="20"/>
        </w:rPr>
        <w:t xml:space="preserve"> </w:t>
      </w:r>
      <w:r>
        <w:rPr>
          <w:sz w:val="20"/>
          <w:szCs w:val="20"/>
          <w:lang w:val="en-US"/>
        </w:rPr>
        <w:t>27.11.20 11:11:58 (MSK+02:00)</w:t>
      </w:r>
      <w:r>
        <w:rPr>
          <w:sz w:val="20"/>
          <w:szCs w:val="20"/>
        </w:rPr>
        <w:t xml:space="preserve">, а также на сайте электронной площадки «РАД Госзакупки» </w:t>
      </w:r>
      <w:hyperlink r:id="rId3">
        <w:bookmarkStart w:id="4" w:name="__DdeLink__334_3297638160"/>
        <w:r>
          <w:rPr>
            <w:rStyle w:val="Style18"/>
            <w:sz w:val="20"/>
            <w:szCs w:val="20"/>
            <w:lang w:val="ru-RU" w:eastAsia="en-US" w:bidi="ar-SA"/>
          </w:rPr>
          <w:t>http://</w:t>
        </w:r>
        <w:r>
          <w:rPr>
            <w:rStyle w:val="Style18"/>
            <w:sz w:val="20"/>
            <w:szCs w:val="20"/>
            <w:lang w:val="en-US" w:eastAsia="en-US" w:bidi="ar-SA"/>
          </w:rPr>
          <w:t>www.gz.lot-online</w:t>
        </w:r>
        <w:r>
          <w:rPr>
            <w:rStyle w:val="Style18"/>
            <w:sz w:val="20"/>
            <w:szCs w:val="20"/>
            <w:lang w:val="ru-RU" w:eastAsia="en-US" w:bidi="ar-SA"/>
          </w:rPr>
          <w:t>.ru/</w:t>
        </w:r>
      </w:hyperlink>
      <w:bookmarkEnd w:id="4"/>
    </w:p>
    <w:p>
      <w:pPr>
        <w:pStyle w:val="Normal"/>
        <w:widowControl/>
        <w:numPr>
          <w:ilvl w:val="0"/>
          <w:numId w:val="0"/>
        </w:numPr>
        <w:tabs>
          <w:tab w:val="clear" w:pos="720"/>
          <w:tab w:val="left" w:pos="423" w:leader="none"/>
        </w:tabs>
        <w:overflowPunct w:val="true"/>
        <w:bidi w:val="0"/>
        <w:spacing w:before="0" w:after="0"/>
        <w:ind w:left="299" w:right="0" w:hanging="0"/>
        <w:jc w:val="left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widowControl/>
        <w:numPr>
          <w:ilvl w:val="0"/>
          <w:numId w:val="1"/>
        </w:numPr>
        <w:tabs>
          <w:tab w:val="clear" w:pos="720"/>
          <w:tab w:val="left" w:pos="423" w:leader="none"/>
        </w:tabs>
        <w:overflowPunct w:val="true"/>
        <w:bidi w:val="0"/>
        <w:spacing w:before="0" w:after="0"/>
        <w:ind w:left="-567" w:right="0" w:hanging="340"/>
        <w:jc w:val="left"/>
        <w:rPr/>
      </w:pPr>
      <w:r>
        <w:rPr>
          <w:rFonts w:eastAsia="Times New Roman"/>
          <w:sz w:val="20"/>
          <w:szCs w:val="20"/>
        </w:rPr>
        <w:t>Состав</w:t>
      </w:r>
      <w:r>
        <w:rPr>
          <w:rFonts w:eastAsia="Times New Roman"/>
          <w:sz w:val="20"/>
          <w:szCs w:val="20"/>
          <w:lang w:val="ru-RU"/>
        </w:rPr>
        <w:t xml:space="preserve"> </w:t>
      </w:r>
      <w:r>
        <w:rPr>
          <w:rFonts w:eastAsia="Times New Roman"/>
          <w:sz w:val="20"/>
          <w:szCs w:val="20"/>
          <w:lang w:val="en-US"/>
        </w:rPr>
        <w:t>Еди</w:t>
      </w:r>
      <w:r>
        <w:rPr>
          <w:rFonts w:eastAsia="Times New Roman"/>
          <w:sz w:val="20"/>
          <w:szCs w:val="20"/>
          <w:lang w:val="ru-RU"/>
        </w:rPr>
        <w:t xml:space="preserve">ной </w:t>
      </w:r>
      <w:r>
        <w:rPr>
          <w:rFonts w:eastAsia="Times New Roman"/>
          <w:sz w:val="20"/>
          <w:szCs w:val="20"/>
        </w:rPr>
        <w:t>комиссии:</w:t>
      </w:r>
    </w:p>
    <w:tbl>
      <w:tblPr>
        <w:tblW w:w="9916" w:type="dxa"/>
        <w:jc w:val="left"/>
        <w:tblInd w:w="-573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5385"/>
        <w:gridCol w:w="4530"/>
      </w:tblGrid>
      <w:tr>
        <w:trPr/>
        <w:tc>
          <w:tcPr>
            <w:tcW w:w="5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57" w:right="0" w:hanging="0"/>
              <w:jc w:val="center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Член комиссии</w:t>
            </w:r>
          </w:p>
        </w:tc>
        <w:tc>
          <w:tcPr>
            <w:tcW w:w="4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Роль</w:t>
            </w:r>
          </w:p>
        </w:tc>
      </w:tr>
      <w:tr>
        <w:trPr/>
        <w:tc>
          <w:tcPr>
            <w:tcW w:w="5385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57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Гареева Дания  Ильдаровна</w:t>
            </w:r>
          </w:p>
        </w:tc>
        <w:tc>
          <w:tcPr>
            <w:tcW w:w="4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</w:tr>
      <w:tr>
        <w:trPr/>
        <w:tc>
          <w:tcPr>
            <w:tcW w:w="5385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57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Булатова  Гульнара  Расулевна</w:t>
            </w:r>
          </w:p>
        </w:tc>
        <w:tc>
          <w:tcPr>
            <w:tcW w:w="4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</w:tr>
      <w:tr>
        <w:trPr/>
        <w:tc>
          <w:tcPr>
            <w:tcW w:w="5385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57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Ахунова  Гульназ  Ильгиновна</w:t>
            </w:r>
          </w:p>
        </w:tc>
        <w:tc>
          <w:tcPr>
            <w:tcW w:w="4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</w:tr>
      <w:tr>
        <w:trPr/>
        <w:tc>
          <w:tcPr>
            <w:tcW w:w="5385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57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Галиева  Алевтина  Евгеньевна</w:t>
            </w:r>
          </w:p>
        </w:tc>
        <w:tc>
          <w:tcPr>
            <w:tcW w:w="4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</w:tr>
      <w:tr>
        <w:trPr/>
        <w:tc>
          <w:tcPr>
            <w:tcW w:w="5385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57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Камалетдинова  Лилия  Разилевна</w:t>
            </w:r>
          </w:p>
        </w:tc>
        <w:tc>
          <w:tcPr>
            <w:tcW w:w="4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</w:tr>
      <w:tr>
        <w:trPr/>
        <w:tc>
          <w:tcPr>
            <w:tcW w:w="5385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57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Имаева Роза Зульфакаровна</w:t>
            </w:r>
          </w:p>
        </w:tc>
        <w:tc>
          <w:tcPr>
            <w:tcW w:w="4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</w:tr>
      <w:tr>
        <w:trPr/>
        <w:tc>
          <w:tcPr>
            <w:tcW w:w="5385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57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Арсланова  Ралия  Илдусовна</w:t>
            </w:r>
          </w:p>
        </w:tc>
        <w:tc>
          <w:tcPr>
            <w:tcW w:w="4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widowControl/>
        <w:overflowPunct w:val="true"/>
        <w:bidi w:val="0"/>
        <w:spacing w:before="0" w:after="0"/>
        <w:ind w:left="-567" w:right="0" w:hanging="0"/>
        <w:jc w:val="both"/>
        <w:rPr/>
      </w:pPr>
      <w:r>
        <w:rPr>
          <w:rFonts w:eastAsia="Times New Roman"/>
          <w:sz w:val="20"/>
          <w:szCs w:val="20"/>
        </w:rPr>
        <w:t>На заседании Единой комиссии по рассмотрению заявок на участие в электронном аукционе присутствовали:</w:t>
      </w:r>
    </w:p>
    <w:tbl>
      <w:tblPr>
        <w:tblW w:w="9924" w:type="dxa"/>
        <w:jc w:val="left"/>
        <w:tblInd w:w="-58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5384"/>
        <w:gridCol w:w="4539"/>
      </w:tblGrid>
      <w:tr>
        <w:trPr/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57" w:right="0" w:hanging="0"/>
              <w:jc w:val="center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Член комиссии</w:t>
            </w:r>
          </w:p>
        </w:tc>
        <w:tc>
          <w:tcPr>
            <w:tcW w:w="4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Роль</w:t>
            </w:r>
          </w:p>
        </w:tc>
      </w:tr>
      <w:tr>
        <w:trPr/>
        <w:tc>
          <w:tcPr>
            <w:tcW w:w="5384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57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Гареева Дания  Ильдаровна</w:t>
            </w:r>
          </w:p>
        </w:tc>
        <w:tc>
          <w:tcPr>
            <w:tcW w:w="4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</w:tr>
      <w:tr>
        <w:trPr/>
        <w:tc>
          <w:tcPr>
            <w:tcW w:w="5384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57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Булатова  Гульнара  Расулевна</w:t>
            </w:r>
          </w:p>
        </w:tc>
        <w:tc>
          <w:tcPr>
            <w:tcW w:w="4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</w:tr>
      <w:tr>
        <w:trPr/>
        <w:tc>
          <w:tcPr>
            <w:tcW w:w="5384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57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Ахунова  Гульназ  Ильгиновна</w:t>
            </w:r>
          </w:p>
        </w:tc>
        <w:tc>
          <w:tcPr>
            <w:tcW w:w="4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</w:tr>
      <w:tr>
        <w:trPr/>
        <w:tc>
          <w:tcPr>
            <w:tcW w:w="5384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57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Галиева  Алевтина  Евгеньевна</w:t>
            </w:r>
          </w:p>
        </w:tc>
        <w:tc>
          <w:tcPr>
            <w:tcW w:w="4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</w:tr>
      <w:tr>
        <w:trPr/>
        <w:tc>
          <w:tcPr>
            <w:tcW w:w="5384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57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Камалетдинова  Лилия  Разилевна</w:t>
            </w:r>
          </w:p>
        </w:tc>
        <w:tc>
          <w:tcPr>
            <w:tcW w:w="4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</w:tr>
      <w:tr>
        <w:trPr/>
        <w:tc>
          <w:tcPr>
            <w:tcW w:w="5384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57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Арсланова  Ралия  Илдусовна</w:t>
            </w:r>
          </w:p>
        </w:tc>
        <w:tc>
          <w:tcPr>
            <w:tcW w:w="4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widowControl/>
        <w:overflowPunct w:val="true"/>
        <w:bidi w:val="0"/>
        <w:spacing w:before="0" w:after="0"/>
        <w:ind w:left="-567" w:right="0" w:hanging="0"/>
        <w:jc w:val="both"/>
        <w:rPr/>
      </w:pPr>
      <w:r>
        <w:rPr>
          <w:rFonts w:eastAsia="Times New Roman"/>
          <w:sz w:val="20"/>
          <w:szCs w:val="20"/>
        </w:rPr>
        <w:t xml:space="preserve">Всего на заседании присутствовало </w:t>
      </w:r>
      <w:r>
        <w:rPr>
          <w:rFonts w:eastAsia="Times New Roman"/>
          <w:sz w:val="20"/>
          <w:szCs w:val="20"/>
          <w:lang w:val="en-US"/>
        </w:rPr>
        <w:t xml:space="preserve">6 </w:t>
      </w:r>
      <w:r>
        <w:rPr>
          <w:rFonts w:eastAsia="Times New Roman"/>
          <w:sz w:val="20"/>
          <w:szCs w:val="20"/>
          <w:lang w:val="ru-RU"/>
        </w:rPr>
        <w:t>члена(ов) Единой комиссии. Кворум имеется. Заседание правомочно.</w:t>
      </w:r>
    </w:p>
    <w:p>
      <w:pPr>
        <w:pStyle w:val="Normal"/>
        <w:widowControl/>
        <w:tabs>
          <w:tab w:val="clear" w:pos="720"/>
          <w:tab w:val="left" w:pos="423" w:leader="none"/>
        </w:tabs>
        <w:overflowPunct w:val="true"/>
        <w:bidi w:val="0"/>
        <w:spacing w:before="0" w:after="0"/>
        <w:ind w:left="0" w:right="0" w:hanging="0"/>
        <w:jc w:val="left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widowControl/>
        <w:numPr>
          <w:ilvl w:val="0"/>
          <w:numId w:val="1"/>
        </w:numPr>
        <w:tabs>
          <w:tab w:val="clear" w:pos="720"/>
          <w:tab w:val="left" w:pos="423" w:leader="none"/>
        </w:tabs>
        <w:overflowPunct w:val="true"/>
        <w:bidi w:val="0"/>
        <w:spacing w:before="0" w:after="0"/>
        <w:ind w:left="-567" w:right="0" w:hanging="340"/>
        <w:jc w:val="both"/>
        <w:rPr/>
      </w:pPr>
      <w:r>
        <w:rPr>
          <w:rFonts w:eastAsia="Times New Roman"/>
          <w:sz w:val="20"/>
          <w:szCs w:val="20"/>
        </w:rPr>
        <w:t xml:space="preserve">На основании протокола проведения электронного аукциона № </w:t>
      </w:r>
      <w:r>
        <w:rPr>
          <w:rFonts w:eastAsia="Times New Roman"/>
          <w:sz w:val="20"/>
          <w:szCs w:val="20"/>
          <w:lang w:val="en-US"/>
        </w:rPr>
        <w:t xml:space="preserve">0301200061920000116 </w:t>
      </w:r>
      <w:r>
        <w:rPr>
          <w:rFonts w:eastAsia="Times New Roman"/>
          <w:sz w:val="20"/>
          <w:szCs w:val="20"/>
          <w:lang w:val="ru-RU"/>
        </w:rPr>
        <w:t>были рассмотрены вторые части заявок следующих участников аукциона</w:t>
      </w:r>
      <w:r>
        <w:rPr>
          <w:rFonts w:eastAsia="Times New Roman"/>
          <w:sz w:val="20"/>
          <w:szCs w:val="20"/>
        </w:rPr>
        <w:t>: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60" w:type="dxa"/>
        <w:jc w:val="left"/>
        <w:tblInd w:w="-595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1725"/>
        <w:gridCol w:w="2145"/>
        <w:gridCol w:w="3533"/>
        <w:gridCol w:w="2556"/>
      </w:tblGrid>
      <w:tr>
        <w:trPr/>
        <w:tc>
          <w:tcPr>
            <w:tcW w:w="1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Style25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  <w:sz w:val="20"/>
                <w:szCs w:val="20"/>
              </w:rPr>
              <w:t>Номер заявки</w:t>
            </w:r>
          </w:p>
        </w:tc>
        <w:tc>
          <w:tcPr>
            <w:tcW w:w="2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Style25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  <w:sz w:val="20"/>
                <w:szCs w:val="20"/>
              </w:rPr>
              <w:t>Идентификационный номер заявки</w:t>
            </w:r>
          </w:p>
        </w:tc>
        <w:tc>
          <w:tcPr>
            <w:tcW w:w="3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Style25"/>
              <w:jc w:val="center"/>
              <w:rPr>
                <w:rFonts w:ascii="Times New Roman" w:hAnsi="Times New Roman" w:eastAsia="" w:cs="Times New Roman" w:eastAsiaTheme="minorEastAsia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" w:cs="Times New Roman" w:eastAsiaTheme="minorEastAsia"/>
                <w:b/>
                <w:bCs/>
                <w:color w:val="00000A"/>
                <w:kern w:val="0"/>
                <w:sz w:val="20"/>
                <w:szCs w:val="20"/>
                <w:lang w:val="ru-RU" w:eastAsia="ru-RU" w:bidi="ar-SA"/>
              </w:rPr>
              <w:t>Участник электронного аукциона</w:t>
            </w:r>
          </w:p>
        </w:tc>
        <w:tc>
          <w:tcPr>
            <w:tcW w:w="2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Style25"/>
              <w:jc w:val="center"/>
              <w:rPr>
                <w:rFonts w:ascii="Times New Roman" w:hAnsi="Times New Roman" w:eastAsia="" w:cs="Times New Roman" w:eastAsiaTheme="minorEastAsia"/>
                <w:b/>
                <w:b/>
                <w:bCs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" w:cs="Times New Roman" w:eastAsiaTheme="minorEastAsia"/>
                <w:b/>
                <w:bCs/>
                <w:color w:val="00000A"/>
                <w:kern w:val="0"/>
                <w:sz w:val="20"/>
                <w:szCs w:val="20"/>
                <w:lang w:val="ru-RU" w:eastAsia="ru-RU" w:bidi="ar-SA"/>
              </w:rPr>
              <w:t>Сумма предложения</w:t>
            </w:r>
          </w:p>
        </w:tc>
      </w:tr>
      <w:tr>
        <w:trPr/>
        <w:tc>
          <w:tcPr>
            <w:tcW w:w="1725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Style25"/>
              <w:rPr/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2145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Style25"/>
              <w:rPr/>
            </w:pPr>
            <w:r>
              <w:rPr>
                <w:sz w:val="20"/>
                <w:szCs w:val="20"/>
                <w:lang w:val="en-US"/>
              </w:rPr>
              <w:t>EA-67360</w:t>
            </w:r>
          </w:p>
        </w:tc>
        <w:tc>
          <w:tcPr>
            <w:tcW w:w="3533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Style25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"БАШМЕДТЕХ"</w:t>
            </w:r>
          </w:p>
        </w:tc>
        <w:tc>
          <w:tcPr>
            <w:tcW w:w="25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Style25"/>
              <w:rPr/>
            </w:pPr>
            <w:r>
              <w:rPr>
                <w:sz w:val="20"/>
                <w:szCs w:val="20"/>
                <w:lang w:val="en-US"/>
              </w:rPr>
              <w:t>1 631 971,00 руб.</w:t>
            </w:r>
          </w:p>
        </w:tc>
      </w:tr>
    </w:tbl>
    <w:p>
      <w:pPr>
        <w:pStyle w:val="Normal"/>
        <w:widowControl/>
        <w:tabs>
          <w:tab w:val="clear" w:pos="720"/>
          <w:tab w:val="left" w:pos="423" w:leader="none"/>
        </w:tabs>
        <w:overflowPunct w:val="true"/>
        <w:bidi w:val="0"/>
        <w:spacing w:before="0" w:after="0"/>
        <w:ind w:left="-567" w:right="0" w:hanging="0"/>
        <w:jc w:val="left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widowControl/>
        <w:numPr>
          <w:ilvl w:val="0"/>
          <w:numId w:val="1"/>
        </w:numPr>
        <w:tabs>
          <w:tab w:val="clear" w:pos="720"/>
          <w:tab w:val="left" w:pos="423" w:leader="none"/>
        </w:tabs>
        <w:overflowPunct w:val="true"/>
        <w:bidi w:val="0"/>
        <w:spacing w:before="0" w:after="0"/>
        <w:ind w:left="-567" w:right="0" w:hanging="340"/>
        <w:jc w:val="both"/>
        <w:rPr/>
      </w:pPr>
      <w:r>
        <w:rPr>
          <w:rFonts w:eastAsia="Times New Roman"/>
          <w:sz w:val="20"/>
          <w:szCs w:val="20"/>
          <w:lang w:val="ru-RU"/>
        </w:rPr>
        <w:t>Единая комиссия, руководствуясь ст. 6</w:t>
      </w:r>
      <w:r>
        <w:rPr>
          <w:rFonts w:eastAsia="Times New Roman"/>
          <w:sz w:val="20"/>
          <w:szCs w:val="20"/>
          <w:lang w:val="en-US"/>
        </w:rPr>
        <w:t>9</w:t>
      </w:r>
      <w:r>
        <w:rPr>
          <w:rFonts w:eastAsia="Times New Roman"/>
          <w:sz w:val="20"/>
          <w:szCs w:val="20"/>
          <w:lang w:val="ru-RU"/>
        </w:rPr>
        <w:t xml:space="preserve"> Федерального закона от 05 апреля 2013 г. №44-ФЗ, рассмотрела вторые части заявок и документы участников аукциона, содержащиеся на дату и время окончания срока подачи заявок на участие в электронном аукционе в реестре участников закупки, на предмет их соответствия требованиям, установленным документацией об электронном аукционе, и приняла следующее решение:</w:t>
      </w:r>
    </w:p>
    <w:p>
      <w:pPr>
        <w:pStyle w:val="Normal"/>
        <w:widowControl/>
        <w:numPr>
          <w:ilvl w:val="0"/>
          <w:numId w:val="0"/>
        </w:numPr>
        <w:tabs>
          <w:tab w:val="clear" w:pos="720"/>
          <w:tab w:val="left" w:pos="423" w:leader="none"/>
        </w:tabs>
        <w:overflowPunct w:val="true"/>
        <w:bidi w:val="0"/>
        <w:spacing w:before="0" w:after="0"/>
        <w:ind w:left="153" w:right="0" w:hanging="0"/>
        <w:jc w:val="left"/>
        <w:rPr>
          <w:rFonts w:eastAsia="Times New Roman"/>
          <w:sz w:val="20"/>
          <w:szCs w:val="20"/>
          <w:lang w:val="ru-RU"/>
        </w:rPr>
      </w:pPr>
      <w:r>
        <w:rPr>
          <w:rFonts w:eastAsia="Times New Roman"/>
          <w:sz w:val="20"/>
          <w:szCs w:val="20"/>
          <w:lang w:val="ru-RU"/>
        </w:rPr>
      </w:r>
    </w:p>
    <w:tbl>
      <w:tblPr>
        <w:tblW w:w="9945" w:type="dxa"/>
        <w:jc w:val="left"/>
        <w:tblInd w:w="-580" w:type="dxa"/>
        <w:tblCellMar>
          <w:top w:w="55" w:type="dxa"/>
          <w:left w:w="10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980"/>
        <w:gridCol w:w="1590"/>
        <w:gridCol w:w="3225"/>
        <w:gridCol w:w="2729"/>
        <w:gridCol w:w="1421"/>
      </w:tblGrid>
      <w:tr>
        <w:trPr/>
        <w:tc>
          <w:tcPr>
            <w:tcW w:w="9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57" w:right="0" w:hanging="0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  <w:sz w:val="20"/>
                <w:szCs w:val="20"/>
              </w:rPr>
              <w:t>Номер заявки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57" w:right="0" w:hanging="0"/>
              <w:jc w:val="center"/>
              <w:rPr>
                <w:b/>
                <w:b/>
                <w:bCs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2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Участник электронного аукциона</w:t>
            </w:r>
          </w:p>
        </w:tc>
        <w:tc>
          <w:tcPr>
            <w:tcW w:w="2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Решение о соответствии или несоответствии заявки требованиям документации</w:t>
            </w:r>
          </w:p>
        </w:tc>
        <w:tc>
          <w:tcPr>
            <w:tcW w:w="14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Обоснование решения</w:t>
            </w:r>
          </w:p>
        </w:tc>
      </w:tr>
      <w:tr>
        <w:trPr/>
        <w:tc>
          <w:tcPr>
            <w:tcW w:w="9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Style25"/>
              <w:rPr/>
            </w:pPr>
            <w:r>
              <w:rPr>
                <w:sz w:val="20"/>
                <w:szCs w:val="20"/>
              </w:rPr>
              <w:t/>
            </w: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Style25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EA-67360</w:t>
            </w:r>
          </w:p>
        </w:tc>
        <w:tc>
          <w:tcPr>
            <w:tcW w:w="32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Style2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ОБЩЕСТВО С ОГРАНИЧЕННОЙ ОТВЕТСТВЕННОСТЬЮ "БАШМЕДТЕХ"</w:t>
            </w:r>
          </w:p>
        </w:tc>
        <w:tc>
          <w:tcPr>
            <w:tcW w:w="2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Style25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 требованиям Федерального закона и документации об электронном аукционе</w:t>
            </w:r>
          </w:p>
        </w:tc>
        <w:tc>
          <w:tcPr>
            <w:tcW w:w="14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</w:tcPr>
          <w:p>
            <w:pPr>
              <w:pStyle w:val="Style25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widowControl/>
        <w:overflowPunct w:val="true"/>
        <w:bidi w:val="0"/>
        <w:spacing w:before="0" w:after="0"/>
        <w:ind w:left="-567" w:right="0" w:hanging="0"/>
        <w:jc w:val="both"/>
        <w:rPr/>
      </w:pPr>
      <w:r>
        <w:rPr>
          <w:rFonts w:eastAsia="Times New Roman"/>
          <w:sz w:val="20"/>
          <w:szCs w:val="20"/>
        </w:rPr>
        <w:t>Сведения о решении каждого члена Единой комиссии о соответствии (несоответствии) заявок участников электронного аукциона требованиям:</w:t>
      </w:r>
    </w:p>
    <w:tbl>
      <w:tblPr>
        <w:tblW w:w="9921" w:type="dxa"/>
        <w:jc w:val="left"/>
        <w:tblInd w:w="-558" w:type="dxa"/>
        <w:tblCellMar>
          <w:top w:w="55" w:type="dxa"/>
          <w:left w:w="10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969"/>
        <w:gridCol w:w="1590"/>
        <w:gridCol w:w="3217"/>
        <w:gridCol w:w="2728"/>
        <w:gridCol w:w="1417"/>
      </w:tblGrid>
      <w:tr>
        <w:trPr/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-170" w:hanging="0"/>
              <w:jc w:val="center"/>
              <w:rPr/>
            </w:pPr>
            <w:r>
              <w:rPr>
                <w:b/>
                <w:bCs/>
                <w:sz w:val="20"/>
                <w:szCs w:val="20"/>
              </w:rPr>
              <w:t>Номер заявки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Normal"/>
              <w:widowControl/>
              <w:tabs>
                <w:tab w:val="clear" w:pos="720"/>
                <w:tab w:val="left" w:pos="1304" w:leader="none"/>
              </w:tabs>
              <w:overflowPunct w:val="true"/>
              <w:bidi w:val="0"/>
              <w:spacing w:before="0" w:after="0"/>
              <w:ind w:left="57" w:right="170" w:hanging="0"/>
              <w:jc w:val="center"/>
              <w:rPr>
                <w:b/>
                <w:b/>
                <w:bCs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Normal"/>
              <w:ind w:right="-157" w:hanging="0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Участник электронного аукциона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Normal"/>
              <w:ind w:right="-157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Член комиссии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</w:tcPr>
          <w:p>
            <w:pPr>
              <w:pStyle w:val="Normal"/>
              <w:ind w:right="-157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Решение члена комиссии</w:t>
            </w:r>
          </w:p>
        </w:tc>
      </w:tr>
      <w:tr>
        <w:trPr/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Style25"/>
              <w:rPr/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Style25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EA-67360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Style25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"БАШМЕДТЕХ"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Style25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Гареева Дания  Ильдаровна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</w:tcPr>
          <w:p>
            <w:pPr>
              <w:pStyle w:val="Style25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 требованиям</w:t>
            </w:r>
          </w:p>
        </w:tc>
      </w:tr>
      <w:tr>
        <w:trPr/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Style25"/>
              <w:rPr/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Style25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EA-67360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Style25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"БАШМЕДТЕХ"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Style25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Булатова  Гульнара  Расулевна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</w:tcPr>
          <w:p>
            <w:pPr>
              <w:pStyle w:val="Style25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 требованиям</w:t>
            </w:r>
          </w:p>
        </w:tc>
      </w:tr>
      <w:tr>
        <w:trPr/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Style25"/>
              <w:rPr/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Style25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EA-67360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Style25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"БАШМЕДТЕХ"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Style25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Ахунова  Гульназ  Ильгиновна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</w:tcPr>
          <w:p>
            <w:pPr>
              <w:pStyle w:val="Style25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 требованиям</w:t>
            </w:r>
          </w:p>
        </w:tc>
      </w:tr>
      <w:tr>
        <w:trPr/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Style25"/>
              <w:rPr/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Style25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EA-67360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Style25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"БАШМЕДТЕХ"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Style25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Галиева  Алевтина  Евгеньевна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</w:tcPr>
          <w:p>
            <w:pPr>
              <w:pStyle w:val="Style25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 требованиям</w:t>
            </w:r>
          </w:p>
        </w:tc>
      </w:tr>
      <w:tr>
        <w:trPr/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Style25"/>
              <w:rPr/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Style25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EA-67360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Style25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"БАШМЕДТЕХ"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Style25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Камалетдинова  Лилия  Разилевна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</w:tcPr>
          <w:p>
            <w:pPr>
              <w:pStyle w:val="Style25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 требованиям</w:t>
            </w:r>
          </w:p>
        </w:tc>
      </w:tr>
      <w:tr>
        <w:trPr/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Style25"/>
              <w:rPr/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Style25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EA-67360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Style25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"БАШМЕДТЕХ"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Style25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Арсланова  Ралия  Илдусовна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</w:tcPr>
          <w:p>
            <w:pPr>
              <w:pStyle w:val="Style25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 требованиям</w:t>
            </w:r>
          </w:p>
        </w:tc>
      </w:tr>
    </w:tbl>
    <w:p>
      <w:pPr>
        <w:pStyle w:val="Normal"/>
        <w:widowControl/>
        <w:tabs>
          <w:tab w:val="clear" w:pos="720"/>
          <w:tab w:val="left" w:pos="423" w:leader="none"/>
        </w:tabs>
        <w:overflowPunct w:val="true"/>
        <w:bidi w:val="0"/>
        <w:spacing w:before="0" w:after="0"/>
        <w:ind w:left="0" w:right="0" w:hanging="421"/>
        <w:jc w:val="left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numPr>
          <w:ilvl w:val="0"/>
          <w:numId w:val="1"/>
        </w:numPr>
        <w:tabs>
          <w:tab w:val="clear" w:pos="720"/>
          <w:tab w:val="left" w:pos="423" w:leader="none"/>
        </w:tabs>
        <w:overflowPunct w:val="true"/>
        <w:bidi w:val="0"/>
        <w:spacing w:before="0" w:after="0"/>
        <w:ind w:left="-567" w:right="0" w:hanging="340"/>
        <w:jc w:val="both"/>
        <w:rPr/>
      </w:pPr>
      <w:r>
        <w:rPr>
          <w:rFonts w:eastAsia="Times New Roman"/>
          <w:sz w:val="20"/>
          <w:szCs w:val="20"/>
          <w:lang w:val="ru-RU"/>
        </w:rPr>
        <w:t xml:space="preserve">На основании результатов рассмотрения вторых частей заявок на участие в электронном аукционе и в соответствии с ч. 10 ст. 69 Федерального закона от 05 апреля 2013 г. №44-ФЗ </w:t>
      </w: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 xml:space="preserve">контракт заключается с участником - </w:t>
      </w:r>
      <w:r>
        <w:rPr>
          <w:rFonts w:eastAsia="Times New Roman" w:cs="Times New Roman"/>
          <w:color w:val="00000A"/>
          <w:kern w:val="0"/>
          <w:sz w:val="20"/>
          <w:szCs w:val="20"/>
          <w:lang w:val="en-US" w:eastAsia="ru-RU" w:bidi="ar-SA"/>
        </w:rPr>
        <w:t xml:space="preserve">ОБЩЕСТВО С ОГРАНИЧЕННОЙ ОТВЕТСТВЕННОСТЬЮ "БАШМЕДТЕХ", </w:t>
      </w: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widowControl/>
        <w:numPr>
          <w:ilvl w:val="0"/>
          <w:numId w:val="0"/>
        </w:numPr>
        <w:tabs>
          <w:tab w:val="clear" w:pos="720"/>
          <w:tab w:val="left" w:pos="423" w:leader="none"/>
        </w:tabs>
        <w:overflowPunct w:val="true"/>
        <w:bidi w:val="0"/>
        <w:spacing w:before="0" w:after="0"/>
        <w:ind w:left="153" w:right="0" w:hanging="0"/>
        <w:jc w:val="both"/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/>
      </w:r>
    </w:p>
    <w:p>
      <w:pPr>
        <w:pStyle w:val="Normal"/>
        <w:widowControl/>
        <w:numPr>
          <w:ilvl w:val="0"/>
          <w:numId w:val="1"/>
        </w:numPr>
        <w:tabs>
          <w:tab w:val="clear" w:pos="720"/>
          <w:tab w:val="left" w:pos="423" w:leader="none"/>
        </w:tabs>
        <w:overflowPunct w:val="true"/>
        <w:bidi w:val="0"/>
        <w:spacing w:before="0" w:after="0"/>
        <w:ind w:left="-567" w:right="0" w:hanging="340"/>
        <w:jc w:val="both"/>
        <w:rPr/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>
      <w:pPr>
        <w:pStyle w:val="Normal"/>
        <w:widowControl/>
        <w:numPr>
          <w:ilvl w:val="0"/>
          <w:numId w:val="0"/>
        </w:numPr>
        <w:tabs>
          <w:tab w:val="clear" w:pos="720"/>
          <w:tab w:val="left" w:pos="423" w:leader="none"/>
        </w:tabs>
        <w:overflowPunct w:val="true"/>
        <w:bidi w:val="0"/>
        <w:spacing w:before="0" w:after="0"/>
        <w:ind w:left="-567" w:right="0" w:hanging="0"/>
        <w:jc w:val="both"/>
        <w:rPr>
          <w:rFonts w:eastAsia="Times New Roman"/>
          <w:sz w:val="20"/>
          <w:szCs w:val="20"/>
          <w:lang w:val="en-US"/>
        </w:rPr>
      </w:pPr>
      <w:r>
        <w:rPr/>
      </w:r>
    </w:p>
    <w:p>
      <w:pPr>
        <w:pStyle w:val="Normal"/>
        <w:widowControl/>
        <w:numPr>
          <w:ilvl w:val="0"/>
          <w:numId w:val="1"/>
        </w:numPr>
        <w:tabs>
          <w:tab w:val="clear" w:pos="720"/>
          <w:tab w:val="left" w:pos="423" w:leader="none"/>
        </w:tabs>
        <w:overflowPunct w:val="true"/>
        <w:bidi w:val="0"/>
        <w:spacing w:before="0" w:after="0"/>
        <w:ind w:left="-567" w:right="0" w:hanging="340"/>
        <w:jc w:val="both"/>
        <w:rPr/>
      </w:pPr>
      <w:r>
        <w:rPr>
          <w:rFonts w:eastAsia="Times New Roman"/>
          <w:sz w:val="20"/>
          <w:szCs w:val="20"/>
          <w:lang w:val="ru-RU"/>
        </w:rPr>
        <w:t xml:space="preserve">Протокол рассмотрения заявок на участие в электронном аукционе подписан всеми присутствующими на заседании членами Единой комиссии и направлен оператору электронной площадки «РАД Госзакупки», по адресу в сети «Интернет»: </w:t>
      </w:r>
      <w:hyperlink r:id="rId4">
        <w:r>
          <w:rPr>
            <w:rStyle w:val="Style18"/>
            <w:rFonts w:eastAsia="Times New Roman"/>
            <w:sz w:val="20"/>
            <w:szCs w:val="20"/>
            <w:lang w:val="ru-RU" w:eastAsia="en-US" w:bidi="ar-SA"/>
          </w:rPr>
          <w:t>http://</w:t>
        </w:r>
        <w:r>
          <w:rPr>
            <w:rStyle w:val="Style18"/>
            <w:rFonts w:eastAsia="Times New Roman"/>
            <w:sz w:val="20"/>
            <w:szCs w:val="20"/>
            <w:lang w:val="en-US" w:eastAsia="en-US" w:bidi="ar-SA"/>
          </w:rPr>
          <w:t>www.gz.lot-online</w:t>
        </w:r>
        <w:r>
          <w:rPr>
            <w:rStyle w:val="Style18"/>
            <w:rFonts w:eastAsia="Times New Roman"/>
            <w:sz w:val="20"/>
            <w:szCs w:val="20"/>
            <w:lang w:val="ru-RU" w:eastAsia="en-US" w:bidi="ar-SA"/>
          </w:rPr>
          <w:t>.ru/</w:t>
        </w:r>
      </w:hyperlink>
      <w:r>
        <w:rPr>
          <w:rFonts w:eastAsia="Times New Roman"/>
          <w:sz w:val="20"/>
          <w:szCs w:val="20"/>
          <w:lang w:val="ru-RU" w:eastAsia="en-US" w:bidi="ar-SA"/>
        </w:rPr>
        <w:t>.</w:t>
      </w:r>
    </w:p>
    <w:p>
      <w:pPr>
        <w:pStyle w:val="Normal"/>
        <w:widowControl/>
        <w:numPr>
          <w:ilvl w:val="0"/>
          <w:numId w:val="0"/>
        </w:numPr>
        <w:tabs>
          <w:tab w:val="clear" w:pos="720"/>
          <w:tab w:val="left" w:pos="423" w:leader="none"/>
        </w:tabs>
        <w:overflowPunct w:val="true"/>
        <w:bidi w:val="0"/>
        <w:spacing w:before="0" w:after="0"/>
        <w:ind w:left="299" w:right="0" w:hanging="0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10034" w:type="dxa"/>
        <w:jc w:val="left"/>
        <w:tblInd w:w="-685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935"/>
        <w:gridCol w:w="2678"/>
        <w:gridCol w:w="3421"/>
      </w:tblGrid>
      <w:tr>
        <w:trPr/>
        <w:tc>
          <w:tcPr>
            <w:tcW w:w="3935" w:type="dxa"/>
            <w:tcBorders/>
            <w:shd w:fill="auto" w:val="clear"/>
            <w:vAlign w:val="bottom"/>
          </w:tcPr>
          <w:p>
            <w:pPr>
              <w:pStyle w:val="Style25"/>
              <w:widowControl/>
              <w:overflowPunct w:val="true"/>
              <w:bidi w:val="0"/>
              <w:spacing w:before="0" w:after="0"/>
              <w:ind w:left="57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2678" w:type="dxa"/>
            <w:tcBorders/>
            <w:shd w:fill="auto" w:val="clear"/>
          </w:tcPr>
          <w:p>
            <w:pPr>
              <w:pStyle w:val="Style25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421" w:type="dxa"/>
            <w:tcBorders/>
            <w:shd w:fill="auto" w:val="clear"/>
            <w:vAlign w:val="bottom"/>
          </w:tcPr>
          <w:p>
            <w:pPr>
              <w:pStyle w:val="Style25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Гареева Дания  Ильдаровна</w:t>
            </w:r>
          </w:p>
        </w:tc>
      </w:tr>
      <w:tr>
        <w:trPr/>
        <w:tc>
          <w:tcPr>
            <w:tcW w:w="3935" w:type="dxa"/>
            <w:tcBorders/>
            <w:shd w:fill="auto" w:val="clear"/>
            <w:vAlign w:val="bottom"/>
          </w:tcPr>
          <w:p>
            <w:pPr>
              <w:pStyle w:val="Style25"/>
              <w:widowControl/>
              <w:overflowPunct w:val="true"/>
              <w:bidi w:val="0"/>
              <w:spacing w:before="0" w:after="0"/>
              <w:ind w:left="57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2678" w:type="dxa"/>
            <w:tcBorders/>
            <w:shd w:fill="auto" w:val="clear"/>
          </w:tcPr>
          <w:p>
            <w:pPr>
              <w:pStyle w:val="Style25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421" w:type="dxa"/>
            <w:tcBorders/>
            <w:shd w:fill="auto" w:val="clear"/>
            <w:vAlign w:val="bottom"/>
          </w:tcPr>
          <w:p>
            <w:pPr>
              <w:pStyle w:val="Style25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Булатова  Гульнара  Расулевна</w:t>
            </w:r>
          </w:p>
        </w:tc>
      </w:tr>
      <w:tr>
        <w:trPr/>
        <w:tc>
          <w:tcPr>
            <w:tcW w:w="3935" w:type="dxa"/>
            <w:tcBorders/>
            <w:shd w:fill="auto" w:val="clear"/>
            <w:vAlign w:val="bottom"/>
          </w:tcPr>
          <w:p>
            <w:pPr>
              <w:pStyle w:val="Style25"/>
              <w:widowControl/>
              <w:overflowPunct w:val="true"/>
              <w:bidi w:val="0"/>
              <w:spacing w:before="0" w:after="0"/>
              <w:ind w:left="57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2678" w:type="dxa"/>
            <w:tcBorders/>
            <w:shd w:fill="auto" w:val="clear"/>
          </w:tcPr>
          <w:p>
            <w:pPr>
              <w:pStyle w:val="Style25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421" w:type="dxa"/>
            <w:tcBorders/>
            <w:shd w:fill="auto" w:val="clear"/>
            <w:vAlign w:val="bottom"/>
          </w:tcPr>
          <w:p>
            <w:pPr>
              <w:pStyle w:val="Style25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Ахунова  Гульназ  Ильгиновна</w:t>
            </w:r>
          </w:p>
        </w:tc>
      </w:tr>
      <w:tr>
        <w:trPr/>
        <w:tc>
          <w:tcPr>
            <w:tcW w:w="3935" w:type="dxa"/>
            <w:tcBorders/>
            <w:shd w:fill="auto" w:val="clear"/>
            <w:vAlign w:val="bottom"/>
          </w:tcPr>
          <w:p>
            <w:pPr>
              <w:pStyle w:val="Style25"/>
              <w:widowControl/>
              <w:overflowPunct w:val="true"/>
              <w:bidi w:val="0"/>
              <w:spacing w:before="0" w:after="0"/>
              <w:ind w:left="57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2678" w:type="dxa"/>
            <w:tcBorders/>
            <w:shd w:fill="auto" w:val="clear"/>
          </w:tcPr>
          <w:p>
            <w:pPr>
              <w:pStyle w:val="Style25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421" w:type="dxa"/>
            <w:tcBorders/>
            <w:shd w:fill="auto" w:val="clear"/>
            <w:vAlign w:val="bottom"/>
          </w:tcPr>
          <w:p>
            <w:pPr>
              <w:pStyle w:val="Style25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Галиева  Алевтина  Евгеньевна</w:t>
            </w:r>
          </w:p>
        </w:tc>
      </w:tr>
      <w:tr>
        <w:trPr/>
        <w:tc>
          <w:tcPr>
            <w:tcW w:w="3935" w:type="dxa"/>
            <w:tcBorders/>
            <w:shd w:fill="auto" w:val="clear"/>
            <w:vAlign w:val="bottom"/>
          </w:tcPr>
          <w:p>
            <w:pPr>
              <w:pStyle w:val="Style25"/>
              <w:widowControl/>
              <w:overflowPunct w:val="true"/>
              <w:bidi w:val="0"/>
              <w:spacing w:before="0" w:after="0"/>
              <w:ind w:left="57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2678" w:type="dxa"/>
            <w:tcBorders/>
            <w:shd w:fill="auto" w:val="clear"/>
          </w:tcPr>
          <w:p>
            <w:pPr>
              <w:pStyle w:val="Style25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421" w:type="dxa"/>
            <w:tcBorders/>
            <w:shd w:fill="auto" w:val="clear"/>
            <w:vAlign w:val="bottom"/>
          </w:tcPr>
          <w:p>
            <w:pPr>
              <w:pStyle w:val="Style25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Камалетдинова  Лилия  Разилевна</w:t>
            </w:r>
          </w:p>
        </w:tc>
      </w:tr>
      <w:tr>
        <w:trPr/>
        <w:tc>
          <w:tcPr>
            <w:tcW w:w="3935" w:type="dxa"/>
            <w:tcBorders/>
            <w:shd w:fill="auto" w:val="clear"/>
            <w:vAlign w:val="bottom"/>
          </w:tcPr>
          <w:p>
            <w:pPr>
              <w:pStyle w:val="Style25"/>
              <w:widowControl/>
              <w:overflowPunct w:val="true"/>
              <w:bidi w:val="0"/>
              <w:spacing w:before="0" w:after="0"/>
              <w:ind w:left="57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2678" w:type="dxa"/>
            <w:tcBorders/>
            <w:shd w:fill="auto" w:val="clear"/>
          </w:tcPr>
          <w:p>
            <w:pPr>
              <w:pStyle w:val="Style25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421" w:type="dxa"/>
            <w:tcBorders/>
            <w:shd w:fill="auto" w:val="clear"/>
            <w:vAlign w:val="bottom"/>
          </w:tcPr>
          <w:p>
            <w:pPr>
              <w:pStyle w:val="Style25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Арсланова  Ралия  Илдусовна</w:t>
            </w:r>
          </w:p>
        </w:tc>
      </w:tr>
    </w:tbl>
    <w:p>
      <w:pPr>
        <w:pStyle w:val="Normal"/>
        <w:jc w:val="both"/>
        <w:rPr/>
      </w:pPr>
      <w:r>
        <w:rPr/>
      </w:r>
    </w:p>
    <w:sectPr>
      <w:type w:val="nextPage"/>
      <w:pgSz w:w="11906" w:h="16838"/>
      <w:pgMar w:left="1698" w:right="858" w:header="0" w:top="565" w:footer="0" w:bottom="1133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sz w:val="20"/>
        <w:szCs w:val="20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sz w:val="20"/>
        <w:szCs w:val="20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sz w:val="20"/>
        <w:szCs w:val="20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sz w:val="20"/>
        <w:szCs w:val="20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sz w:val="20"/>
        <w:szCs w:val="20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sz w:val="20"/>
        <w:szCs w:val="20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sz w:val="20"/>
        <w:szCs w:val="20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20"/>
  <w:defaultTabStop w:val="720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Cs w:val="24"/>
        <w:lang w:val="ru-RU" w:eastAsia="zh-CN" w:bidi="hi-IN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overflowPunct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character" w:styleId="Style17">
    <w:name w:val="Символ нумерации"/>
    <w:qFormat/>
    <w:rPr>
      <w:sz w:val="20"/>
      <w:szCs w:val="20"/>
    </w:rPr>
  </w:style>
  <w:style w:type="character" w:styleId="Style18">
    <w:name w:val="Интернет-ссылка"/>
    <w:rPr>
      <w:color w:val="000080"/>
      <w:u w:val="single"/>
      <w:lang w:val="zxx" w:eastAsia="zxx" w:bidi="zxx"/>
    </w:rPr>
  </w:style>
  <w:style w:type="paragraph" w:styleId="Style19">
    <w:name w:val="Заголовок"/>
    <w:basedOn w:val="Normal"/>
    <w:next w:val="Style20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20">
    <w:name w:val="Body Text"/>
    <w:basedOn w:val="Normal"/>
    <w:pPr>
      <w:spacing w:lineRule="auto" w:line="288" w:before="0" w:after="140"/>
    </w:pPr>
    <w:rPr/>
  </w:style>
  <w:style w:type="paragraph" w:styleId="Style21">
    <w:name w:val="List"/>
    <w:basedOn w:val="Style20"/>
    <w:pPr/>
    <w:rPr>
      <w:rFonts w:cs="Noto Sans Devanagari"/>
    </w:rPr>
  </w:style>
  <w:style w:type="paragraph" w:styleId="Style22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3">
    <w:name w:val="Указатель"/>
    <w:basedOn w:val="Normal"/>
    <w:qFormat/>
    <w:pPr>
      <w:suppressLineNumbers/>
    </w:pPr>
    <w:rPr>
      <w:rFonts w:cs="Arial"/>
    </w:rPr>
  </w:style>
  <w:style w:type="paragraph" w:styleId="Style24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5" w:customStyle="1">
    <w:name w:val="Содержимое таблицы"/>
    <w:basedOn w:val="Normal"/>
    <w:qFormat/>
    <w:pPr/>
    <w:rPr/>
  </w:style>
  <w:style w:type="paragraph" w:styleId="Style26" w:customStyle="1">
    <w:name w:val="Заголовок таблицы"/>
    <w:basedOn w:val="Style25"/>
    <w:qFormat/>
    <w:pPr/>
    <w:rPr/>
  </w:style>
  <w:style w:type="paragraph" w:styleId="Style27" w:customStyle="1">
    <w:name w:val="Текст в заданном формате"/>
    <w:basedOn w:val="Normal"/>
    <w:qFormat/>
    <w:pPr/>
    <w:rPr/>
  </w:style>
  <w:style w:type="paragraph" w:styleId="DocumentMap">
    <w:name w:val="DocumentMap"/>
    <w:qFormat/>
    <w:pPr>
      <w:widowControl/>
      <w:bidi w:val="0"/>
      <w:spacing w:before="0" w:after="0"/>
      <w:jc w:val="left"/>
      <w:textAlignment w:val="auto"/>
    </w:pPr>
    <w:rPr>
      <w:rFonts w:ascii="Liberation Serif" w:hAnsi="Liberation Serif" w:eastAsia="NSimSun" w:cs="Liberation Serif"/>
      <w:color w:val="00000A"/>
      <w:kern w:val="0"/>
      <w:sz w:val="20"/>
      <w:szCs w:val="24"/>
      <w:lang w:val="ru-RU" w:eastAsia="zh-CN" w:bidi="hi-IN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zakupki.gov.ru/" TargetMode="External"/><Relationship Id="rId3" Type="http://schemas.openxmlformats.org/officeDocument/2006/relationships/hyperlink" Target="http://www.gz.lot-online.ru/" TargetMode="External"/><Relationship Id="rId4" Type="http://schemas.openxmlformats.org/officeDocument/2006/relationships/hyperlink" Target="http://www.gz.lot-online.ru/" TargetMode="External"/><Relationship Id="rId5" Type="http://schemas.openxmlformats.org/officeDocument/2006/relationships/numbering" Target="numbering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Application>LibreOffice/6.3.4.2$Windows_x86 LibreOffice_project/60da17e045e08f1793c57c00ba83cdfce946d0aa</Application>
  <Pages>2</Pages>
  <Words>354</Words>
  <Characters>3197</Characters>
  <CharactersWithSpaces>3470</CharactersWithSpaces>
  <Paragraphs>72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2019-09-11T09:00:00Z</dcterms:created>
  <dc:creator>Ларий Дарья Григорьевна</dc:creator>
  <dc:description/>
  <dc:language>ru-RU</dc:language>
  <cp:lastModifiedBy/>
  <dcterms:modified xsi:type="dcterms:W3CDTF">2020-03-20T11:58:46Z</dcterms:modified>
  <cp:revision>42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