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theme/theme1.xml" ContentType="application/vnd.openxmlformats-officedocument.theme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Normal"/>
        <w:ind w:firstLine="567"/>
        <w:jc w:val="center"/>
        <w:rPr>
          <w:sz w:val="20"/>
          <w:szCs w:val="20"/>
        </w:rPr>
      </w:pPr>
      <w:bookmarkStart w:id="0" w:name="_GoBack"/>
      <w:bookmarkEnd w:id="0"/>
      <w:r>
        <w:rPr>
          <w:rFonts w:eastAsia="Times New Roman"/>
          <w:b/>
          <w:bCs/>
          <w:sz w:val="20"/>
          <w:szCs w:val="20"/>
        </w:rPr>
        <w:t xml:space="preserve">Протокол </w:t>
      </w:r>
      <w:r>
        <w:rPr>
          <w:rFonts w:eastAsia="Times New Roman"/>
          <w:b/>
          <w:bCs/>
          <w:sz w:val="20"/>
          <w:szCs w:val="20"/>
        </w:rPr>
        <w:t>№03.4-4/2077</w:t>
      </w:r>
    </w:p>
    <w:p>
      <w:pPr>
        <w:pStyle w:val="Normal"/>
        <w:ind w:firstLine="567"/>
        <w:jc w:val="center"/>
        <w:rPr>
          <w:sz w:val="20"/>
          <w:szCs w:val="20"/>
        </w:rPr>
      </w:pPr>
      <w:r>
        <w:rPr>
          <w:rFonts w:eastAsia="Times New Roman"/>
          <w:b/>
          <w:bCs/>
          <w:sz w:val="20"/>
          <w:szCs w:val="20"/>
        </w:rPr>
        <w:t xml:space="preserve"> </w:t>
      </w:r>
      <w:r>
        <w:rPr>
          <w:rFonts w:eastAsia="Times New Roman"/>
          <w:b/>
          <w:bCs/>
          <w:sz w:val="20"/>
          <w:szCs w:val="20"/>
        </w:rPr>
        <w:t>подведения итогов электронного аукциона</w:t>
      </w:r>
    </w:p>
    <w:p>
      <w:pPr>
        <w:pStyle w:val="Normal"/>
        <w:ind w:firstLine="567"/>
        <w:jc w:val="center"/>
        <w:rPr>
          <w:sz w:val="20"/>
          <w:szCs w:val="20"/>
        </w:rPr>
      </w:pPr>
      <w:r>
        <w:rPr>
          <w:rFonts w:eastAsia="Times New Roman"/>
          <w:b/>
          <w:bCs/>
          <w:sz w:val="20"/>
          <w:szCs w:val="20"/>
        </w:rPr>
        <w:t>"поставка молочных продуктов"</w:t>
      </w:r>
    </w:p>
    <w:p>
      <w:pPr>
        <w:pStyle w:val="Normal"/>
        <w:ind w:firstLine="567"/>
        <w:jc w:val="center"/>
        <w:rPr>
          <w:rFonts w:eastAsia="Times New Roman"/>
          <w:b/>
          <w:b/>
          <w:bCs/>
          <w:lang w:val="en-US"/>
        </w:rPr>
      </w:pPr>
      <w:r>
        <w:rPr>
          <w:rFonts w:eastAsia="Times New Roman"/>
          <w:b/>
          <w:bCs/>
          <w:sz w:val="20"/>
          <w:szCs w:val="20"/>
          <w:lang w:val="en-US"/>
        </w:rPr>
        <w:t xml:space="preserve">(№ </w:t>
      </w:r>
      <w:r>
        <w:rPr>
          <w:rFonts w:eastAsia="Times New Roman"/>
          <w:b/>
          <w:bCs/>
          <w:sz w:val="20"/>
          <w:szCs w:val="20"/>
        </w:rPr>
        <w:t>извещения</w:t>
      </w:r>
      <w:r>
        <w:rPr>
          <w:rFonts w:eastAsia="Times New Roman"/>
          <w:b/>
          <w:bCs/>
          <w:sz w:val="20"/>
          <w:szCs w:val="20"/>
          <w:lang w:val="en-US"/>
        </w:rPr>
        <w:t xml:space="preserve"> 0744200000220004125) </w:t>
      </w:r>
    </w:p>
    <w:p>
      <w:pPr>
        <w:pStyle w:val="Normal"/>
        <w:ind w:firstLine="567"/>
        <w:jc w:val="center"/>
        <w:rPr>
          <w:sz w:val="20"/>
          <w:szCs w:val="20"/>
          <w:lang w:val="en-US"/>
        </w:rPr>
      </w:pPr>
      <w:r>
        <w:rPr>
          <w:sz w:val="20"/>
          <w:szCs w:val="20"/>
          <w:lang w:val="en-US"/>
        </w:rPr>
      </w:r>
    </w:p>
    <w:p>
      <w:pPr>
        <w:pStyle w:val="Normal"/>
        <w:ind w:firstLine="567"/>
        <w:jc w:val="right"/>
        <w:rPr>
          <w:lang w:val="en-US"/>
        </w:rPr>
      </w:pPr>
      <w:r>
        <w:rPr>
          <w:rFonts w:eastAsia="Times New Roman" w:cs="Times New Roman"/>
          <w:color w:val="00000A"/>
          <w:kern w:val="0"/>
          <w:sz w:val="20"/>
          <w:szCs w:val="20"/>
          <w:lang w:val="en-US" w:eastAsia="ru-RU" w:bidi="ar-SA"/>
        </w:rPr>
        <w:t>18</w:t>
      </w:r>
      <w:r>
        <w:rPr>
          <w:rFonts w:eastAsia="Times New Roman"/>
          <w:sz w:val="20"/>
          <w:szCs w:val="20"/>
          <w:lang w:val="en-US"/>
        </w:rPr>
        <w:t xml:space="preserve">.12.20 </w:t>
      </w:r>
      <w:r>
        <w:rPr>
          <w:rFonts w:eastAsia="Times New Roman"/>
          <w:sz w:val="20"/>
          <w:szCs w:val="20"/>
          <w:lang w:val="ru-RU"/>
        </w:rPr>
        <w:t>г.</w:t>
      </w:r>
    </w:p>
    <w:p>
      <w:pPr>
        <w:pStyle w:val="Normal"/>
        <w:ind w:firstLine="567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lang w:val="en-US"/>
        </w:rPr>
      </w:pPr>
      <w:r>
        <w:rPr>
          <w:rFonts w:eastAsia="Times New Roman"/>
          <w:sz w:val="20"/>
          <w:szCs w:val="20"/>
        </w:rPr>
        <w:t>Место</w:t>
      </w:r>
      <w:r>
        <w:rPr>
          <w:rFonts w:eastAsia="Times New Roman"/>
          <w:sz w:val="20"/>
          <w:szCs w:val="20"/>
          <w:lang w:val="en-US"/>
        </w:rPr>
        <w:t xml:space="preserve"> </w:t>
      </w:r>
      <w:r>
        <w:rPr>
          <w:rFonts w:eastAsia="Times New Roman"/>
          <w:sz w:val="20"/>
          <w:szCs w:val="20"/>
        </w:rPr>
        <w:t>публикации</w:t>
      </w:r>
      <w:r>
        <w:rPr>
          <w:rFonts w:eastAsia="Times New Roman"/>
          <w:sz w:val="20"/>
          <w:szCs w:val="20"/>
          <w:lang w:val="en-US"/>
        </w:rPr>
        <w:t>: Российская Федерация, 305029, Курская обл, Курск г, Красный Октябрь, д.21, ОФИС 3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lang w:val="en-US"/>
        </w:rPr>
      </w:pPr>
      <w:r>
        <w:rPr>
          <w:rFonts w:eastAsia="Times New Roman"/>
          <w:sz w:val="20"/>
          <w:szCs w:val="20"/>
        </w:rPr>
        <w:t>Организатор</w:t>
      </w:r>
      <w:r>
        <w:rPr>
          <w:rFonts w:eastAsia="Times New Roman"/>
          <w:sz w:val="20"/>
          <w:szCs w:val="20"/>
          <w:lang w:val="en-US"/>
        </w:rPr>
        <w:t xml:space="preserve"> </w:t>
      </w:r>
      <w:r>
        <w:rPr>
          <w:rFonts w:eastAsia="Times New Roman"/>
          <w:sz w:val="20"/>
          <w:szCs w:val="20"/>
        </w:rPr>
        <w:t>аукциона</w:t>
      </w:r>
      <w:r>
        <w:rPr>
          <w:rFonts w:eastAsia="Times New Roman"/>
          <w:sz w:val="20"/>
          <w:szCs w:val="20"/>
          <w:lang w:val="en-US"/>
        </w:rPr>
        <w:t>: ОБЛАСТНОЕ КАЗЕННОЕ УЧРЕЖДЕНИЕ "ЦЕНТР ЗАКУПОК КУРСКОЙ ОБЛАСТИ"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lang w:val="en-US"/>
        </w:rPr>
      </w:pPr>
      <w:r>
        <w:rPr>
          <w:rFonts w:eastAsia="Times New Roman"/>
          <w:sz w:val="20"/>
          <w:szCs w:val="20"/>
          <w:lang w:val="en-US"/>
        </w:rPr>
        <w:t>Заказчик: ОБЛАСТНОЕ БЮДЖЕТНОЕ УЧРЕЖДЕНИЕ СОЦИАЛЬНОГО ОБСЛУЖИВАНИЯ "КОМПЛЕКСНЫЙ ЦЕНТР СОЦИАЛЬНОГО ОБСЛУЖИВАНИЯ НАСЕЛЕНИЯ КАСТОРЕНСКОГО РАЙОНА КУРСКОЙ ОБЛАСТИ"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sz w:val="20"/>
          <w:szCs w:val="20"/>
          <w:lang w:val="en-US"/>
        </w:rPr>
      </w:pPr>
      <w:r>
        <w:rPr>
          <w:rFonts w:eastAsia="Times New Roman"/>
          <w:sz w:val="20"/>
          <w:szCs w:val="20"/>
        </w:rPr>
        <w:t>Наименование</w:t>
      </w:r>
      <w:r>
        <w:rPr>
          <w:rFonts w:eastAsia="Times New Roman"/>
          <w:sz w:val="20"/>
          <w:szCs w:val="20"/>
          <w:lang w:val="en-US"/>
        </w:rPr>
        <w:t xml:space="preserve"> </w:t>
      </w:r>
      <w:r>
        <w:rPr>
          <w:rFonts w:eastAsia="Times New Roman"/>
          <w:sz w:val="20"/>
          <w:szCs w:val="20"/>
        </w:rPr>
        <w:t>закупки</w:t>
      </w:r>
      <w:r>
        <w:rPr>
          <w:rFonts w:eastAsia="Times New Roman"/>
          <w:sz w:val="20"/>
          <w:szCs w:val="20"/>
          <w:lang w:val="en-US"/>
        </w:rPr>
        <w:t xml:space="preserve">: поставка молочных продуктов 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  <w:t>Идентификационный код закупки: 202460800360546080100100210010000244</w:t>
      </w:r>
    </w:p>
    <w:p>
      <w:pPr>
        <w:pStyle w:val="Normal"/>
        <w:rPr/>
      </w:pPr>
      <w:r>
        <w:rPr/>
      </w:r>
    </w:p>
    <w:p>
      <w:pPr>
        <w:pStyle w:val="Normal"/>
        <w:rPr/>
      </w:pPr>
      <w:r>
        <w:rPr>
          <w:rFonts w:eastAsia="Times New Roman"/>
          <w:sz w:val="20"/>
          <w:szCs w:val="20"/>
        </w:rPr>
        <w:t>Начальная (максимальная) цена контракта/Максимальное значение цены контракта: 348 767,15 руб.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lang w:val="en-US"/>
        </w:rPr>
      </w:pPr>
      <w:r>
        <w:rPr>
          <w:rFonts w:eastAsia="Times New Roman"/>
          <w:sz w:val="20"/>
          <w:szCs w:val="20"/>
        </w:rPr>
        <w:t>Снижение</w:t>
      </w:r>
      <w:r>
        <w:rPr>
          <w:rFonts w:eastAsia="Times New Roman"/>
          <w:sz w:val="20"/>
          <w:szCs w:val="20"/>
          <w:lang w:val="en-US"/>
        </w:rPr>
        <w:t xml:space="preserve"> </w:t>
      </w:r>
      <w:r>
        <w:rPr>
          <w:rFonts w:eastAsia="Times New Roman"/>
          <w:sz w:val="20"/>
          <w:szCs w:val="20"/>
        </w:rPr>
        <w:t>НМЦК</w:t>
      </w:r>
      <w:r>
        <w:rPr>
          <w:rFonts w:eastAsia="Times New Roman"/>
          <w:sz w:val="20"/>
          <w:szCs w:val="20"/>
          <w:lang w:val="en-US"/>
        </w:rPr>
        <w:t>, %: 0.50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sz w:val="20"/>
          <w:szCs w:val="20"/>
        </w:rPr>
      </w:pPr>
      <w:r>
        <w:rPr>
          <w:rFonts w:eastAsia="Times New Roman"/>
          <w:sz w:val="20"/>
          <w:szCs w:val="20"/>
        </w:rPr>
        <w:t>Состав аукционной комиссии:</w:t>
      </w:r>
    </w:p>
    <w:tbl>
      <w:tblPr>
        <w:tblW w:w="5000" w:type="pct"/>
        <w:jc w:val="left"/>
        <w:tblInd w:w="-14" w:type="dxa"/>
        <w:tblLayout w:type="fixed"/>
        <w:tblCellMar>
          <w:top w:w="15" w:type="dxa"/>
          <w:left w:w="15" w:type="dxa"/>
          <w:bottom w:w="15" w:type="dxa"/>
          <w:right w:w="15" w:type="dxa"/>
        </w:tblCellMar>
        <w:tblLook w:firstRow="1" w:noVBand="1" w:lastRow="0" w:firstColumn="1" w:lastColumn="0" w:noHBand="0" w:val="04a0"/>
      </w:tblPr>
      <w:tblGrid>
        <w:gridCol w:w="4960"/>
        <w:gridCol w:w="4961"/>
      </w:tblGrid>
      <w:tr>
        <w:trPr/>
        <w:tc>
          <w:tcPr>
            <w:tcW w:w="4960" w:type="dxa"/>
            <w:tcBorders/>
            <w:shd w:color="auto" w:fill="auto" w:val="clear"/>
          </w:tcPr>
          <w:p>
            <w:pPr>
              <w:pStyle w:val="Normal"/>
              <w:widowControl w:val="false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Председатель комиссии</w:t>
            </w:r>
          </w:p>
        </w:tc>
        <w:tc>
          <w:tcPr>
            <w:tcW w:w="4961" w:type="dxa"/>
            <w:tcBorders/>
            <w:shd w:color="auto" w:fill="auto" w:val="clear"/>
          </w:tcPr>
          <w:p>
            <w:pPr>
              <w:pStyle w:val="Normal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Мухина Елена Юрьевна</w:t>
            </w:r>
          </w:p>
        </w:tc>
      </w:tr>
      <w:tr>
        <w:trPr/>
        <w:tc>
          <w:tcPr>
            <w:tcW w:w="4960" w:type="dxa"/>
            <w:tcBorders/>
            <w:shd w:color="auto" w:fill="auto" w:val="clear"/>
          </w:tcPr>
          <w:p>
            <w:pPr>
              <w:pStyle w:val="Normal"/>
              <w:widowControl w:val="false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Зам. председателя комиссии</w:t>
            </w:r>
          </w:p>
        </w:tc>
        <w:tc>
          <w:tcPr>
            <w:tcW w:w="4961" w:type="dxa"/>
            <w:tcBorders/>
            <w:shd w:color="auto" w:fill="auto" w:val="clear"/>
          </w:tcPr>
          <w:p>
            <w:pPr>
              <w:pStyle w:val="Normal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Гринев Денис Юрьевич</w:t>
            </w:r>
          </w:p>
        </w:tc>
      </w:tr>
      <w:tr>
        <w:trPr/>
        <w:tc>
          <w:tcPr>
            <w:tcW w:w="4960" w:type="dxa"/>
            <w:tcBorders/>
            <w:shd w:color="auto" w:fill="auto" w:val="clear"/>
          </w:tcPr>
          <w:p>
            <w:pPr>
              <w:pStyle w:val="Normal"/>
              <w:widowControl w:val="false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4961" w:type="dxa"/>
            <w:tcBorders/>
            <w:shd w:color="auto" w:fill="auto" w:val="clear"/>
          </w:tcPr>
          <w:p>
            <w:pPr>
              <w:pStyle w:val="Normal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Пожидаева Наталья Александровна</w:t>
            </w:r>
          </w:p>
        </w:tc>
      </w:tr>
      <w:tr>
        <w:trPr/>
        <w:tc>
          <w:tcPr>
            <w:tcW w:w="4960" w:type="dxa"/>
            <w:tcBorders/>
            <w:shd w:color="auto" w:fill="auto" w:val="clear"/>
          </w:tcPr>
          <w:p>
            <w:pPr>
              <w:pStyle w:val="Normal"/>
              <w:widowControl w:val="false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4961" w:type="dxa"/>
            <w:tcBorders/>
            <w:shd w:color="auto" w:fill="auto" w:val="clear"/>
          </w:tcPr>
          <w:p>
            <w:pPr>
              <w:pStyle w:val="Normal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Сапрыкина Марина Николаевна</w:t>
            </w:r>
          </w:p>
        </w:tc>
      </w:tr>
      <w:tr>
        <w:trPr/>
        <w:tc>
          <w:tcPr>
            <w:tcW w:w="4960" w:type="dxa"/>
            <w:tcBorders/>
            <w:shd w:color="auto" w:fill="auto" w:val="clear"/>
          </w:tcPr>
          <w:p>
            <w:pPr>
              <w:pStyle w:val="Normal"/>
              <w:widowControl w:val="false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4961" w:type="dxa"/>
            <w:tcBorders/>
            <w:shd w:color="auto" w:fill="auto" w:val="clear"/>
          </w:tcPr>
          <w:p>
            <w:pPr>
              <w:pStyle w:val="Normal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Белявцева Наталья Юрьевна</w:t>
            </w:r>
          </w:p>
        </w:tc>
      </w:tr>
      <w:tr>
        <w:trPr/>
        <w:tc>
          <w:tcPr>
            <w:tcW w:w="4960" w:type="dxa"/>
            <w:tcBorders/>
            <w:shd w:color="auto" w:fill="auto" w:val="clear"/>
          </w:tcPr>
          <w:p>
            <w:pPr>
              <w:pStyle w:val="Normal"/>
              <w:widowControl w:val="false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Секретарь комиссии</w:t>
            </w:r>
          </w:p>
        </w:tc>
        <w:tc>
          <w:tcPr>
            <w:tcW w:w="4961" w:type="dxa"/>
            <w:tcBorders/>
            <w:shd w:color="auto" w:fill="auto" w:val="clear"/>
          </w:tcPr>
          <w:p>
            <w:pPr>
              <w:pStyle w:val="Normal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Тимошенко Лилия Евгеньевна</w:t>
            </w:r>
          </w:p>
        </w:tc>
      </w:tr>
    </w:tbl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rPr>
          <w:sz w:val="20"/>
          <w:szCs w:val="20"/>
        </w:rPr>
      </w:pPr>
      <w:r>
        <w:rPr>
          <w:rFonts w:eastAsia="Times New Roman"/>
          <w:sz w:val="20"/>
          <w:szCs w:val="20"/>
        </w:rPr>
        <w:t>На заседании аукционной комиссии присутствуют:</w:t>
      </w:r>
    </w:p>
    <w:tbl>
      <w:tblPr>
        <w:tblW w:w="5000" w:type="pct"/>
        <w:jc w:val="left"/>
        <w:tblInd w:w="-14" w:type="dxa"/>
        <w:tblLayout w:type="fixed"/>
        <w:tblCellMar>
          <w:top w:w="15" w:type="dxa"/>
          <w:left w:w="15" w:type="dxa"/>
          <w:bottom w:w="15" w:type="dxa"/>
          <w:right w:w="15" w:type="dxa"/>
        </w:tblCellMar>
        <w:tblLook w:firstRow="1" w:noVBand="1" w:lastRow="0" w:firstColumn="1" w:lastColumn="0" w:noHBand="0" w:val="04a0"/>
      </w:tblPr>
      <w:tblGrid>
        <w:gridCol w:w="4960"/>
        <w:gridCol w:w="4961"/>
      </w:tblGrid>
      <w:tr>
        <w:trPr/>
        <w:tc>
          <w:tcPr>
            <w:tcW w:w="4960" w:type="dxa"/>
            <w:tcBorders/>
            <w:shd w:color="auto" w:fill="auto" w:val="clear"/>
          </w:tcPr>
          <w:p>
            <w:pPr>
              <w:pStyle w:val="Normal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Председатель комиссии</w:t>
            </w:r>
          </w:p>
        </w:tc>
        <w:tc>
          <w:tcPr>
            <w:tcW w:w="4961" w:type="dxa"/>
            <w:tcBorders/>
            <w:shd w:color="auto" w:fill="auto" w:val="clear"/>
          </w:tcPr>
          <w:p>
            <w:pPr>
              <w:pStyle w:val="Normal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Мухина Елена Юрьевна</w:t>
            </w:r>
          </w:p>
        </w:tc>
      </w:tr>
      <w:tr>
        <w:trPr/>
        <w:tc>
          <w:tcPr>
            <w:tcW w:w="4960" w:type="dxa"/>
            <w:tcBorders/>
            <w:shd w:color="auto" w:fill="auto" w:val="clear"/>
          </w:tcPr>
          <w:p>
            <w:pPr>
              <w:pStyle w:val="Normal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Зам. председателя комиссии</w:t>
            </w:r>
          </w:p>
        </w:tc>
        <w:tc>
          <w:tcPr>
            <w:tcW w:w="4961" w:type="dxa"/>
            <w:tcBorders/>
            <w:shd w:color="auto" w:fill="auto" w:val="clear"/>
          </w:tcPr>
          <w:p>
            <w:pPr>
              <w:pStyle w:val="Normal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Гринев Денис Юрьевич</w:t>
            </w:r>
          </w:p>
        </w:tc>
      </w:tr>
      <w:tr>
        <w:trPr/>
        <w:tc>
          <w:tcPr>
            <w:tcW w:w="4960" w:type="dxa"/>
            <w:tcBorders/>
            <w:shd w:color="auto" w:fill="auto" w:val="clear"/>
          </w:tcPr>
          <w:p>
            <w:pPr>
              <w:pStyle w:val="Normal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4961" w:type="dxa"/>
            <w:tcBorders/>
            <w:shd w:color="auto" w:fill="auto" w:val="clear"/>
          </w:tcPr>
          <w:p>
            <w:pPr>
              <w:pStyle w:val="Normal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Пожидаева Наталья Александровна</w:t>
            </w:r>
          </w:p>
        </w:tc>
      </w:tr>
      <w:tr>
        <w:trPr/>
        <w:tc>
          <w:tcPr>
            <w:tcW w:w="4960" w:type="dxa"/>
            <w:tcBorders/>
            <w:shd w:color="auto" w:fill="auto" w:val="clear"/>
          </w:tcPr>
          <w:p>
            <w:pPr>
              <w:pStyle w:val="Normal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4961" w:type="dxa"/>
            <w:tcBorders/>
            <w:shd w:color="auto" w:fill="auto" w:val="clear"/>
          </w:tcPr>
          <w:p>
            <w:pPr>
              <w:pStyle w:val="Normal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Сапрыкина Марина Николаевна</w:t>
            </w:r>
          </w:p>
        </w:tc>
      </w:tr>
      <w:tr>
        <w:trPr/>
        <w:tc>
          <w:tcPr>
            <w:tcW w:w="4960" w:type="dxa"/>
            <w:tcBorders/>
            <w:shd w:color="auto" w:fill="auto" w:val="clear"/>
          </w:tcPr>
          <w:p>
            <w:pPr>
              <w:pStyle w:val="Normal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4961" w:type="dxa"/>
            <w:tcBorders/>
            <w:shd w:color="auto" w:fill="auto" w:val="clear"/>
          </w:tcPr>
          <w:p>
            <w:pPr>
              <w:pStyle w:val="Normal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Белявцева Наталья Юрьевна</w:t>
            </w:r>
          </w:p>
        </w:tc>
      </w:tr>
      <w:tr>
        <w:trPr/>
        <w:tc>
          <w:tcPr>
            <w:tcW w:w="4960" w:type="dxa"/>
            <w:tcBorders/>
            <w:shd w:color="auto" w:fill="auto" w:val="clear"/>
          </w:tcPr>
          <w:p>
            <w:pPr>
              <w:pStyle w:val="Normal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Секретарь комиссии</w:t>
            </w:r>
          </w:p>
        </w:tc>
        <w:tc>
          <w:tcPr>
            <w:tcW w:w="4961" w:type="dxa"/>
            <w:tcBorders/>
            <w:shd w:color="auto" w:fill="auto" w:val="clear"/>
          </w:tcPr>
          <w:p>
            <w:pPr>
              <w:pStyle w:val="Normal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Тимошенко Лилия Евгеньевна</w:t>
            </w:r>
          </w:p>
        </w:tc>
      </w:tr>
    </w:tbl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jc w:val="both"/>
        <w:rPr/>
      </w:pPr>
      <w:r>
        <w:rPr>
          <w:rFonts w:eastAsia="Times New Roman"/>
          <w:sz w:val="20"/>
          <w:szCs w:val="20"/>
        </w:rPr>
        <w:t>Заседание комиссии правомочно, кворум имеется.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rPr>
          <w:sz w:val="20"/>
          <w:szCs w:val="20"/>
        </w:rPr>
      </w:pPr>
      <w:r>
        <w:rPr>
          <w:rFonts w:eastAsia="Times New Roman"/>
          <w:sz w:val="20"/>
          <w:szCs w:val="20"/>
        </w:rPr>
        <w:t>Аукционной комиссией рассмотрены вторые части заявок на участие в аукционе, поданных его участниками, а также информация и электронные документы этих участников, предусмотренные частью 11 статьи 24.1 Федерального закона №44-ФЗ.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tbl>
      <w:tblPr>
        <w:tblW w:w="9977" w:type="dxa"/>
        <w:jc w:val="left"/>
        <w:tblInd w:w="0" w:type="dxa"/>
        <w:tblLayout w:type="fixed"/>
        <w:tblCellMar>
          <w:top w:w="55" w:type="dxa"/>
          <w:left w:w="55" w:type="dxa"/>
          <w:bottom w:w="55" w:type="dxa"/>
          <w:right w:w="55" w:type="dxa"/>
        </w:tblCellMar>
        <w:tblLook w:firstRow="1" w:noVBand="1" w:lastRow="0" w:firstColumn="1" w:lastColumn="0" w:noHBand="0" w:val="04a0"/>
      </w:tblPr>
      <w:tblGrid>
        <w:gridCol w:w="3034"/>
        <w:gridCol w:w="1668"/>
        <w:gridCol w:w="1859"/>
        <w:gridCol w:w="1671"/>
        <w:gridCol w:w="1745"/>
      </w:tblGrid>
      <w:tr>
        <w:trPr>
          <w:trHeight w:val="285" w:hRule="atLeast"/>
        </w:trPr>
        <w:tc>
          <w:tcPr>
            <w:tcW w:w="9977" w:type="dxa"/>
            <w:gridSpan w:val="5"/>
            <w:tcBorders/>
            <w:shd w:color="auto" w:fill="auto" w:val="clear"/>
          </w:tcPr>
          <w:p>
            <w:pPr>
              <w:pStyle w:val="Normal"/>
              <w:widowControl w:val="false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Сведения о решении аукционной комиссии:</w:t>
            </w:r>
          </w:p>
        </w:tc>
      </w:tr>
      <w:tr>
        <w:trPr/>
        <w:tc>
          <w:tcPr>
            <w:tcW w:w="303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widowControl w:val="false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Идентификационный номер</w:t>
            </w:r>
          </w:p>
        </w:tc>
        <w:tc>
          <w:tcPr>
            <w:tcW w:w="166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widowControl w:val="false"/>
              <w:rPr>
                <w:rFonts w:eastAsia="Times New Roman"/>
              </w:rPr>
            </w:pPr>
            <w:r>
              <w:rPr>
                <w:rFonts w:eastAsia="Times New Roman"/>
                <w:sz w:val="20"/>
                <w:szCs w:val="20"/>
              </w:rPr>
              <w:t>Наименование / ИНН участника аукциона</w:t>
            </w:r>
          </w:p>
        </w:tc>
        <w:tc>
          <w:tcPr>
            <w:tcW w:w="185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widowControl w:val="false"/>
              <w:rPr>
                <w:rFonts w:eastAsia="Times New Roman"/>
              </w:rPr>
            </w:pPr>
            <w:bookmarkStart w:id="1" w:name="__DdeLink__148_3082067383"/>
            <w:bookmarkEnd w:id="1"/>
            <w:r>
              <w:rPr>
                <w:rFonts w:eastAsia="Times New Roman"/>
                <w:sz w:val="20"/>
                <w:szCs w:val="20"/>
              </w:rPr>
              <w:t>Минимальное предложение о цене контракта, сделанное участником аукциона</w:t>
            </w:r>
          </w:p>
        </w:tc>
        <w:tc>
          <w:tcPr>
            <w:tcW w:w="167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widowControl w:val="false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 xml:space="preserve">Решение </w:t>
            </w:r>
          </w:p>
        </w:tc>
        <w:tc>
          <w:tcPr>
            <w:tcW w:w="174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widowControl w:val="false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Обоснование</w:t>
            </w:r>
          </w:p>
        </w:tc>
      </w:tr>
      <w:tr>
        <w:trPr/>
        <w:tc>
          <w:tcPr>
            <w:tcW w:w="303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EA-68297</w:t>
            </w:r>
          </w:p>
        </w:tc>
        <w:tc>
          <w:tcPr>
            <w:tcW w:w="166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widowControl w:val="false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ЦИНКАЛОВ ДМИТРИЙ ВЛАДИМИРОВИЧ / 462900713991</w:t>
            </w:r>
          </w:p>
        </w:tc>
        <w:tc>
          <w:tcPr>
            <w:tcW w:w="185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347 023,31 руб.</w:t>
            </w:r>
          </w:p>
        </w:tc>
        <w:tc>
          <w:tcPr>
            <w:tcW w:w="167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  <w:tc>
          <w:tcPr>
            <w:tcW w:w="174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-</w:t>
            </w:r>
          </w:p>
        </w:tc>
      </w:tr>
    </w:tbl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tbl>
      <w:tblPr>
        <w:tblW w:w="9977" w:type="dxa"/>
        <w:jc w:val="left"/>
        <w:tblInd w:w="0" w:type="dxa"/>
        <w:tblLayout w:type="fixed"/>
        <w:tblCellMar>
          <w:top w:w="55" w:type="dxa"/>
          <w:left w:w="55" w:type="dxa"/>
          <w:bottom w:w="55" w:type="dxa"/>
          <w:right w:w="55" w:type="dxa"/>
        </w:tblCellMar>
        <w:tblLook w:firstRow="1" w:noVBand="1" w:lastRow="0" w:firstColumn="1" w:lastColumn="0" w:noHBand="0" w:val="04a0"/>
      </w:tblPr>
      <w:tblGrid>
        <w:gridCol w:w="2832"/>
        <w:gridCol w:w="1685"/>
        <w:gridCol w:w="1810"/>
        <w:gridCol w:w="1909"/>
        <w:gridCol w:w="1741"/>
      </w:tblGrid>
      <w:tr>
        <w:trPr/>
        <w:tc>
          <w:tcPr>
            <w:tcW w:w="9977" w:type="dxa"/>
            <w:gridSpan w:val="5"/>
            <w:tcBorders/>
            <w:shd w:color="auto" w:fill="auto" w:val="clear"/>
          </w:tcPr>
          <w:p>
            <w:pPr>
              <w:pStyle w:val="Normal"/>
              <w:widowControl w:val="false"/>
              <w:ind w:left="-45" w:hanging="0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Сведения о решении членов аукционной комиссии:</w:t>
            </w:r>
          </w:p>
        </w:tc>
      </w:tr>
      <w:tr>
        <w:trPr/>
        <w:tc>
          <w:tcPr>
            <w:tcW w:w="28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widowControl w:val="false"/>
              <w:ind w:right="-157" w:hanging="0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Идентификационный номер</w:t>
            </w:r>
          </w:p>
        </w:tc>
        <w:tc>
          <w:tcPr>
            <w:tcW w:w="168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widowControl w:val="false"/>
              <w:ind w:right="-157" w:hanging="0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Наименование / ИНН участника аукциона</w:t>
            </w:r>
          </w:p>
        </w:tc>
        <w:tc>
          <w:tcPr>
            <w:tcW w:w="181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widowControl w:val="false"/>
              <w:ind w:right="-157" w:hanging="0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Минимальное предложение о цене контракта, сделанное участником аукциона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widowControl w:val="false"/>
              <w:ind w:right="-157" w:hanging="0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Ф.И.О. члена аукционной комиссии</w:t>
            </w:r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widowControl w:val="false"/>
              <w:ind w:right="-157" w:hanging="0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 xml:space="preserve">Решение </w:t>
            </w:r>
          </w:p>
        </w:tc>
      </w:tr>
      <w:tr>
        <w:trPr/>
        <w:tc>
          <w:tcPr>
            <w:tcW w:w="28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EA-68297</w:t>
            </w:r>
          </w:p>
        </w:tc>
        <w:tc>
          <w:tcPr>
            <w:tcW w:w="168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widowControl w:val="false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ЦИНКАЛОВ ДМИТРИЙ ВЛАДИМИРОВИЧ / 462900713991</w:t>
            </w:r>
          </w:p>
        </w:tc>
        <w:tc>
          <w:tcPr>
            <w:tcW w:w="181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347 023,31 руб.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Мухина Елена Юрьевна</w:t>
            </w:r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8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EA-68297</w:t>
            </w:r>
          </w:p>
        </w:tc>
        <w:tc>
          <w:tcPr>
            <w:tcW w:w="168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widowControl w:val="false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ЦИНКАЛОВ ДМИТРИЙ ВЛАДИМИРОВИЧ / 462900713991</w:t>
            </w:r>
          </w:p>
        </w:tc>
        <w:tc>
          <w:tcPr>
            <w:tcW w:w="181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347 023,31 руб.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Гринев Денис Юрьевич</w:t>
            </w:r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8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EA-68297</w:t>
            </w:r>
          </w:p>
        </w:tc>
        <w:tc>
          <w:tcPr>
            <w:tcW w:w="168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widowControl w:val="false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ЦИНКАЛОВ ДМИТРИЙ ВЛАДИМИРОВИЧ / 462900713991</w:t>
            </w:r>
          </w:p>
        </w:tc>
        <w:tc>
          <w:tcPr>
            <w:tcW w:w="181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347 023,31 руб.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Пожидаева Наталья Александровна</w:t>
            </w:r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8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EA-68297</w:t>
            </w:r>
          </w:p>
        </w:tc>
        <w:tc>
          <w:tcPr>
            <w:tcW w:w="168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widowControl w:val="false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ЦИНКАЛОВ ДМИТРИЙ ВЛАДИМИРОВИЧ / 462900713991</w:t>
            </w:r>
          </w:p>
        </w:tc>
        <w:tc>
          <w:tcPr>
            <w:tcW w:w="181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347 023,31 руб.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Сапрыкина Марина Николаевна</w:t>
            </w:r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8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EA-68297</w:t>
            </w:r>
          </w:p>
        </w:tc>
        <w:tc>
          <w:tcPr>
            <w:tcW w:w="168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widowControl w:val="false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ЦИНКАЛОВ ДМИТРИЙ ВЛАДИМИРОВИЧ / 462900713991</w:t>
            </w:r>
          </w:p>
        </w:tc>
        <w:tc>
          <w:tcPr>
            <w:tcW w:w="181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347 023,31 руб.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Белявцева Наталья Юрьевна</w:t>
            </w:r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8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EA-68297</w:t>
            </w:r>
          </w:p>
        </w:tc>
        <w:tc>
          <w:tcPr>
            <w:tcW w:w="168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widowControl w:val="false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ЦИНКАЛОВ ДМИТРИЙ ВЛАДИМИРОВИЧ / 462900713991</w:t>
            </w:r>
          </w:p>
        </w:tc>
        <w:tc>
          <w:tcPr>
            <w:tcW w:w="181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347 023,31 руб.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Тимошенко Лилия Евгеньевна</w:t>
            </w:r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</w:tbl>
    <w:p>
      <w:pPr>
        <w:pStyle w:val="Normal"/>
        <w:jc w:val="both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jc w:val="both"/>
        <w:rPr/>
      </w:pPr>
      <w:r>
        <w:rPr>
          <w:rFonts w:eastAsia="Times New Roman"/>
          <w:sz w:val="20"/>
          <w:szCs w:val="20"/>
        </w:rPr>
        <w:t>В результате рассмотрения вторых частей заявок победителем электронного аукциона признается ЦИНКАЛОВ ДМИТРИЙ ВЛАДИМИРОВИЧ, предложивший цену контракта 347 023,31 руб.</w:t>
      </w:r>
    </w:p>
    <w:p>
      <w:pPr>
        <w:pStyle w:val="Normal"/>
        <w:jc w:val="both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jc w:val="both"/>
        <w:rPr/>
      </w:pPr>
      <w:r>
        <w:rPr>
          <w:rFonts w:eastAsia="Times New Roman"/>
          <w:sz w:val="20"/>
          <w:szCs w:val="20"/>
        </w:rPr>
        <w:t>На основании рассмотрения вторых частей заявок на участие в электронном аукционе, а также в соответствии с ч. 10 ст. 69 Федерального закона от 05.04.2013 №44-ФЗ «О контрактной системе в сфере закупок товаров, работ, услуг для обеспечения государственных и муниципальных нужд» контракт заключается с участником ЦИНКАЛОВ ДМИТРИЙ ВЛАДИМИРОВИЧ, который предложил наиболее низкую цену контракта и заявка на участие в электронном аукционе которого соответствует требованиям, установленным документацией об электронном аукционе.</w:t>
      </w:r>
    </w:p>
    <w:p>
      <w:pPr>
        <w:pStyle w:val="Normal"/>
        <w:jc w:val="both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jc w:val="both"/>
        <w:rPr>
          <w:lang w:val="en-US"/>
        </w:rPr>
      </w:pPr>
      <w:r>
        <w:rPr>
          <w:rFonts w:eastAsia="Times New Roman"/>
          <w:sz w:val="20"/>
          <w:szCs w:val="20"/>
          <w:lang w:val="en-US"/>
        </w:rPr>
        <w:t>Электронный аукцион признан не состоявшимся в соответствии с частью 13 статьи 69 Федеральный закон от 05.04.2013 № 44-ФЗ «О контрактной системе в сфере закупок товаров, работ, услуг для обеспечения государственных и муниципальных нужд». Причина признания электронного аукциона не состоявшимся: аукционная комиссия приняла решение о соответствии указанным требованиям только одной второй части заявки на участие в электронном аукционе.</w:t>
      </w:r>
    </w:p>
    <w:p>
      <w:pPr>
        <w:pStyle w:val="Normal"/>
        <w:jc w:val="both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jc w:val="both"/>
        <w:rPr/>
      </w:pPr>
      <w:r>
        <w:rPr>
          <w:rFonts w:eastAsia="Times New Roman"/>
          <w:sz w:val="20"/>
          <w:szCs w:val="20"/>
        </w:rPr>
        <w:t>Настоящий протокол подлежит размещению в единой информационной системе в сфере закупок в порядке и в сроки, установленные Федеральным законом от 05.04.2013 №44-ФЗ «О контрактной системе в сфере закупок товаров, работ, услуг для обеспечения государственных и муниципальных нужд».</w:t>
      </w:r>
    </w:p>
    <w:p>
      <w:pPr>
        <w:pStyle w:val="Normal"/>
        <w:jc w:val="both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rPr/>
      </w:pPr>
      <w:r>
        <w:rPr>
          <w:rFonts w:eastAsia="Times New Roman"/>
          <w:sz w:val="20"/>
          <w:szCs w:val="20"/>
        </w:rPr>
        <w:t>Подписи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tbl>
      <w:tblPr>
        <w:tblW w:w="9922" w:type="dxa"/>
        <w:jc w:val="left"/>
        <w:tblInd w:w="-55" w:type="dxa"/>
        <w:tblLayout w:type="fixed"/>
        <w:tblCellMar>
          <w:top w:w="55" w:type="dxa"/>
          <w:left w:w="55" w:type="dxa"/>
          <w:bottom w:w="55" w:type="dxa"/>
          <w:right w:w="55" w:type="dxa"/>
        </w:tblCellMar>
        <w:tblLook w:firstRow="1" w:noVBand="1" w:lastRow="0" w:firstColumn="1" w:lastColumn="0" w:noHBand="0" w:val="04a0"/>
      </w:tblPr>
      <w:tblGrid>
        <w:gridCol w:w="3307"/>
        <w:gridCol w:w="3301"/>
        <w:gridCol w:w="3314"/>
      </w:tblGrid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Председатель комиссии</w:t>
            </w:r>
          </w:p>
        </w:tc>
        <w:tc>
          <w:tcPr>
            <w:tcW w:w="3301" w:type="dxa"/>
            <w:tcBorders/>
            <w:shd w:color="auto" w:fill="auto" w:val="clear"/>
          </w:tcPr>
          <w:p>
            <w:pPr>
              <w:pStyle w:val="Style23"/>
              <w:widowControl w:val="false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4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Мухина Елена Юрьевна</w:t>
            </w:r>
          </w:p>
        </w:tc>
      </w:tr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Зам. председателя комиссии</w:t>
            </w:r>
          </w:p>
        </w:tc>
        <w:tc>
          <w:tcPr>
            <w:tcW w:w="3301" w:type="dxa"/>
            <w:tcBorders/>
            <w:shd w:color="auto" w:fill="auto" w:val="clear"/>
          </w:tcPr>
          <w:p>
            <w:pPr>
              <w:pStyle w:val="Style23"/>
              <w:widowControl w:val="false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4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Гринев Денис Юрьевич</w:t>
            </w:r>
          </w:p>
        </w:tc>
      </w:tr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301" w:type="dxa"/>
            <w:tcBorders/>
            <w:shd w:color="auto" w:fill="auto" w:val="clear"/>
          </w:tcPr>
          <w:p>
            <w:pPr>
              <w:pStyle w:val="Style23"/>
              <w:widowControl w:val="false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4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Пожидаева Наталья Александровна</w:t>
            </w:r>
          </w:p>
        </w:tc>
      </w:tr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301" w:type="dxa"/>
            <w:tcBorders/>
            <w:shd w:color="auto" w:fill="auto" w:val="clear"/>
          </w:tcPr>
          <w:p>
            <w:pPr>
              <w:pStyle w:val="Style23"/>
              <w:widowControl w:val="false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4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Сапрыкина Марина Николаевна</w:t>
            </w:r>
          </w:p>
        </w:tc>
      </w:tr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301" w:type="dxa"/>
            <w:tcBorders/>
            <w:shd w:color="auto" w:fill="auto" w:val="clear"/>
          </w:tcPr>
          <w:p>
            <w:pPr>
              <w:pStyle w:val="Style23"/>
              <w:widowControl w:val="false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4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Белявцева Наталья Юрьевна</w:t>
            </w:r>
          </w:p>
        </w:tc>
      </w:tr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Секретарь комиссии</w:t>
            </w:r>
          </w:p>
        </w:tc>
        <w:tc>
          <w:tcPr>
            <w:tcW w:w="3301" w:type="dxa"/>
            <w:tcBorders/>
            <w:shd w:color="auto" w:fill="auto" w:val="clear"/>
          </w:tcPr>
          <w:p>
            <w:pPr>
              <w:pStyle w:val="Style23"/>
              <w:widowControl w:val="false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4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Тимошенко Лилия Евгеньевна</w:t>
            </w:r>
          </w:p>
        </w:tc>
      </w:tr>
    </w:tbl>
    <w:sectPr>
      <w:type w:val="nextPage"/>
      <w:pgSz w:w="11906" w:h="16838"/>
      <w:pgMar w:left="1418" w:right="566" w:header="0" w:top="1134" w:footer="0" w:bottom="1134" w:gutter="0"/>
      <w:pgNumType w:fmt="decimal"/>
      <w:formProt w:val="false"/>
      <w:textDirection w:val="lrTb"/>
      <w:docGrid w:type="default" w:linePitch="360" w:charSpace="0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cc"/>
    <w:family w:val="roman"/>
    <w:pitch w:val="variable"/>
  </w:font>
  <w:font w:name="Times New Roman">
    <w:charset w:val="cc"/>
    <w:family w:val="roman"/>
    <w:pitch w:val="variable"/>
  </w:font>
  <w:font w:name="Segoe UI">
    <w:charset w:val="cc"/>
    <w:family w:val="roman"/>
    <w:pitch w:val="variable"/>
  </w:font>
  <w:font w:name="Liberation Sans">
    <w:altName w:val="Arial"/>
    <w:charset w:val="cc"/>
    <w:family w:val="roman"/>
    <w:pitch w:val="variable"/>
  </w:font>
</w:fonts>
</file>

<file path=word/settings.xml><?xml version="1.0" encoding="utf-8"?>
<w:settings xmlns:w="http://schemas.openxmlformats.org/wordprocessingml/2006/main">
  <w:zoom w:percent="120"/>
  <w:defaultTabStop w:val="708"/>
  <w:autoHyphenation w:val="true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themeFontLang w:val="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Times New Roman" w:hAnsi="Times New Roman" w:eastAsia="Times New Roman" w:cs="Times New Roman"/>
        <w:lang w:val="ru-RU" w:eastAsia="ru-RU" w:bidi="ar-SA"/>
      </w:rPr>
    </w:rPrDefault>
    <w:pPrDefault>
      <w:pPr>
        <w:suppressAutoHyphens w:val="true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styleId="Normal" w:default="1">
    <w:name w:val="Normal"/>
    <w:qFormat/>
    <w:pPr>
      <w:widowControl/>
      <w:suppressAutoHyphens w:val="true"/>
      <w:bidi w:val="0"/>
      <w:spacing w:before="0" w:after="0"/>
      <w:jc w:val="left"/>
    </w:pPr>
    <w:rPr>
      <w:rFonts w:ascii="Times New Roman" w:hAnsi="Times New Roman" w:eastAsia="" w:cs="Times New Roman" w:eastAsiaTheme="minorEastAsia"/>
      <w:color w:val="00000A"/>
      <w:kern w:val="0"/>
      <w:sz w:val="24"/>
      <w:szCs w:val="24"/>
      <w:lang w:val="ru-RU" w:eastAsia="ru-RU" w:bidi="ar-SA"/>
    </w:rPr>
  </w:style>
  <w:style w:type="character" w:styleId="DefaultParagraphFont" w:default="1">
    <w:name w:val="Default Paragraph Font"/>
    <w:uiPriority w:val="1"/>
    <w:semiHidden/>
    <w:unhideWhenUsed/>
    <w:qFormat/>
    <w:rPr/>
  </w:style>
  <w:style w:type="character" w:styleId="Annotationreference">
    <w:name w:val="annotation reference"/>
    <w:basedOn w:val="DefaultParagraphFont"/>
    <w:uiPriority w:val="99"/>
    <w:semiHidden/>
    <w:unhideWhenUsed/>
    <w:qFormat/>
    <w:rsid w:val="00b171ee"/>
    <w:rPr>
      <w:sz w:val="16"/>
      <w:szCs w:val="16"/>
    </w:rPr>
  </w:style>
  <w:style w:type="character" w:styleId="Style14" w:customStyle="1">
    <w:name w:val="Текст примечания Знак"/>
    <w:basedOn w:val="DefaultParagraphFont"/>
    <w:uiPriority w:val="99"/>
    <w:semiHidden/>
    <w:qFormat/>
    <w:rsid w:val="00b171ee"/>
    <w:rPr>
      <w:rFonts w:eastAsia="" w:eastAsiaTheme="minorEastAsia"/>
    </w:rPr>
  </w:style>
  <w:style w:type="character" w:styleId="Style15" w:customStyle="1">
    <w:name w:val="Тема примечания Знак"/>
    <w:basedOn w:val="Style14"/>
    <w:uiPriority w:val="99"/>
    <w:semiHidden/>
    <w:qFormat/>
    <w:rsid w:val="00b171ee"/>
    <w:rPr>
      <w:rFonts w:eastAsia="" w:eastAsiaTheme="minorEastAsia"/>
      <w:b/>
      <w:bCs/>
    </w:rPr>
  </w:style>
  <w:style w:type="character" w:styleId="Style16" w:customStyle="1">
    <w:name w:val="Текст выноски Знак"/>
    <w:basedOn w:val="DefaultParagraphFont"/>
    <w:uiPriority w:val="99"/>
    <w:semiHidden/>
    <w:qFormat/>
    <w:rsid w:val="00b171ee"/>
    <w:rPr>
      <w:rFonts w:ascii="Segoe UI" w:hAnsi="Segoe UI" w:eastAsia="" w:cs="Segoe UI" w:eastAsiaTheme="minorEastAsia"/>
      <w:sz w:val="18"/>
      <w:szCs w:val="18"/>
    </w:rPr>
  </w:style>
  <w:style w:type="paragraph" w:styleId="Style17">
    <w:name w:val="Заголовок"/>
    <w:basedOn w:val="Normal"/>
    <w:next w:val="Style18"/>
    <w:qFormat/>
    <w:pPr>
      <w:keepNext w:val="true"/>
      <w:spacing w:before="240" w:after="120"/>
    </w:pPr>
    <w:rPr>
      <w:rFonts w:ascii="Liberation Sans" w:hAnsi="Liberation Sans" w:eastAsia="Microsoft YaHei" w:cs="Arial Unicode MS"/>
      <w:sz w:val="28"/>
      <w:szCs w:val="28"/>
    </w:rPr>
  </w:style>
  <w:style w:type="paragraph" w:styleId="Style18">
    <w:name w:val="Body Text"/>
    <w:basedOn w:val="Normal"/>
    <w:pPr>
      <w:spacing w:lineRule="auto" w:line="288" w:before="0" w:after="140"/>
    </w:pPr>
    <w:rPr/>
  </w:style>
  <w:style w:type="paragraph" w:styleId="Style19">
    <w:name w:val="List"/>
    <w:basedOn w:val="Style18"/>
    <w:pPr/>
    <w:rPr>
      <w:rFonts w:cs="Noto Sans Devanagari"/>
    </w:rPr>
  </w:style>
  <w:style w:type="paragraph" w:styleId="Style20">
    <w:name w:val="Caption"/>
    <w:basedOn w:val="Normal"/>
    <w:qFormat/>
    <w:pPr>
      <w:suppressLineNumbers/>
      <w:spacing w:before="120" w:after="120"/>
    </w:pPr>
    <w:rPr>
      <w:rFonts w:cs="Arial Unicode MS"/>
      <w:i/>
      <w:iCs/>
      <w:sz w:val="24"/>
      <w:szCs w:val="24"/>
    </w:rPr>
  </w:style>
  <w:style w:type="paragraph" w:styleId="Style21">
    <w:name w:val="Указатель"/>
    <w:basedOn w:val="Normal"/>
    <w:qFormat/>
    <w:pPr>
      <w:suppressLineNumbers/>
    </w:pPr>
    <w:rPr>
      <w:rFonts w:cs="Arial Unicode MS"/>
    </w:rPr>
  </w:style>
  <w:style w:type="paragraph" w:styleId="Style22">
    <w:name w:val="Title"/>
    <w:basedOn w:val="Normal"/>
    <w:next w:val="Style18"/>
    <w:qFormat/>
    <w:pPr>
      <w:keepNext w:val="true"/>
      <w:spacing w:before="240" w:after="120"/>
    </w:pPr>
    <w:rPr>
      <w:rFonts w:ascii="Liberation Sans" w:hAnsi="Liberation Sans" w:eastAsia="Noto Sans CJK SC Regular" w:cs="Noto Sans Devanagari"/>
      <w:sz w:val="28"/>
      <w:szCs w:val="28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Noto Sans Devanagari"/>
      <w:i/>
      <w:iCs/>
    </w:rPr>
  </w:style>
  <w:style w:type="paragraph" w:styleId="Indexheading">
    <w:name w:val="index heading"/>
    <w:basedOn w:val="Normal"/>
    <w:qFormat/>
    <w:pPr>
      <w:suppressLineNumbers/>
    </w:pPr>
    <w:rPr>
      <w:rFonts w:cs="Noto Sans Devanagari"/>
    </w:rPr>
  </w:style>
  <w:style w:type="paragraph" w:styleId="Dt" w:customStyle="1">
    <w:name w:val="dt"/>
    <w:basedOn w:val="Normal"/>
    <w:qFormat/>
    <w:pPr>
      <w:spacing w:beforeAutospacing="1" w:afterAutospacing="1"/>
    </w:pPr>
    <w:rPr/>
  </w:style>
  <w:style w:type="paragraph" w:styleId="Th" w:customStyle="1">
    <w:name w:val="th"/>
    <w:basedOn w:val="Normal"/>
    <w:qFormat/>
    <w:pPr>
      <w:shd w:val="clear" w:color="auto" w:fill="EEEEEE"/>
      <w:spacing w:beforeAutospacing="1" w:afterAutospacing="1"/>
    </w:pPr>
    <w:rPr/>
  </w:style>
  <w:style w:type="paragraph" w:styleId="Fr" w:customStyle="1">
    <w:name w:val="fr"/>
    <w:basedOn w:val="Normal"/>
    <w:qFormat/>
    <w:pPr>
      <w:spacing w:beforeAutospacing="1" w:afterAutospacing="1"/>
    </w:pPr>
    <w:rPr/>
  </w:style>
  <w:style w:type="paragraph" w:styleId="Headingcenter1" w:customStyle="1">
    <w:name w:val="headingcenter1"/>
    <w:basedOn w:val="Normal"/>
    <w:qFormat/>
    <w:pPr>
      <w:spacing w:beforeAutospacing="1" w:afterAutospacing="1"/>
      <w:jc w:val="center"/>
    </w:pPr>
    <w:rPr>
      <w:b/>
      <w:bCs/>
      <w:sz w:val="28"/>
      <w:szCs w:val="28"/>
    </w:rPr>
  </w:style>
  <w:style w:type="paragraph" w:styleId="Usual1" w:customStyle="1">
    <w:name w:val="usual1"/>
    <w:basedOn w:val="Normal"/>
    <w:qFormat/>
    <w:pPr>
      <w:spacing w:beforeAutospacing="1" w:after="200"/>
    </w:pPr>
    <w:rPr/>
  </w:style>
  <w:style w:type="paragraph" w:styleId="Usual2" w:customStyle="1">
    <w:name w:val="usual2"/>
    <w:basedOn w:val="Normal"/>
    <w:qFormat/>
    <w:pPr>
      <w:spacing w:beforeAutospacing="1" w:after="200"/>
      <w:ind w:left="460" w:hanging="0"/>
    </w:pPr>
    <w:rPr/>
  </w:style>
  <w:style w:type="paragraph" w:styleId="Margleft1" w:customStyle="1">
    <w:name w:val="margleft1"/>
    <w:basedOn w:val="Normal"/>
    <w:qFormat/>
    <w:pPr>
      <w:spacing w:beforeAutospacing="1" w:afterAutospacing="1"/>
    </w:pPr>
    <w:rPr/>
  </w:style>
  <w:style w:type="paragraph" w:styleId="Commissiontable" w:customStyle="1">
    <w:name w:val="commissiontable"/>
    <w:basedOn w:val="Normal"/>
    <w:qFormat/>
    <w:pPr>
      <w:spacing w:beforeAutospacing="1" w:afterAutospacing="1"/>
    </w:pPr>
    <w:rPr/>
  </w:style>
  <w:style w:type="paragraph" w:styleId="Requests" w:customStyle="1">
    <w:name w:val="requests"/>
    <w:basedOn w:val="Normal"/>
    <w:qFormat/>
    <w:pPr>
      <w:spacing w:beforeAutospacing="1" w:afterAutospacing="1"/>
      <w:ind w:left="460" w:hanging="0"/>
    </w:pPr>
    <w:rPr/>
  </w:style>
  <w:style w:type="paragraph" w:styleId="Margtab1" w:customStyle="1">
    <w:name w:val="margtab1"/>
    <w:basedOn w:val="Normal"/>
    <w:qFormat/>
    <w:pPr>
      <w:spacing w:beforeAutospacing="1" w:afterAutospacing="1"/>
      <w:ind w:left="460" w:hanging="0"/>
    </w:pPr>
    <w:rPr/>
  </w:style>
  <w:style w:type="paragraph" w:styleId="Annotationtext">
    <w:name w:val="annotation text"/>
    <w:basedOn w:val="Normal"/>
    <w:uiPriority w:val="99"/>
    <w:semiHidden/>
    <w:unhideWhenUsed/>
    <w:qFormat/>
    <w:rsid w:val="00b171ee"/>
    <w:pPr/>
    <w:rPr>
      <w:sz w:val="20"/>
      <w:szCs w:val="20"/>
    </w:rPr>
  </w:style>
  <w:style w:type="paragraph" w:styleId="Annotationsubject">
    <w:name w:val="annotation subject"/>
    <w:basedOn w:val="Annotationtext"/>
    <w:uiPriority w:val="99"/>
    <w:semiHidden/>
    <w:unhideWhenUsed/>
    <w:qFormat/>
    <w:rsid w:val="00b171ee"/>
    <w:pPr/>
    <w:rPr>
      <w:b/>
      <w:bCs/>
    </w:rPr>
  </w:style>
  <w:style w:type="paragraph" w:styleId="BalloonText">
    <w:name w:val="Balloon Text"/>
    <w:basedOn w:val="Normal"/>
    <w:uiPriority w:val="99"/>
    <w:semiHidden/>
    <w:unhideWhenUsed/>
    <w:qFormat/>
    <w:rsid w:val="00b171ee"/>
    <w:pPr/>
    <w:rPr>
      <w:rFonts w:ascii="Segoe UI" w:hAnsi="Segoe UI" w:cs="Segoe UI"/>
      <w:sz w:val="18"/>
      <w:szCs w:val="18"/>
    </w:rPr>
  </w:style>
  <w:style w:type="paragraph" w:styleId="NormalWeb">
    <w:name w:val="Normal (Web)"/>
    <w:basedOn w:val="Normal"/>
    <w:uiPriority w:val="99"/>
    <w:unhideWhenUsed/>
    <w:qFormat/>
    <w:rsid w:val="00c6449d"/>
    <w:pPr>
      <w:spacing w:beforeAutospacing="1" w:afterAutospacing="1"/>
    </w:pPr>
    <w:rPr>
      <w:rFonts w:eastAsia="Times New Roman"/>
    </w:rPr>
  </w:style>
  <w:style w:type="paragraph" w:styleId="Style23" w:customStyle="1">
    <w:name w:val="Содержимое таблицы"/>
    <w:basedOn w:val="Normal"/>
    <w:qFormat/>
    <w:pPr/>
    <w:rPr/>
  </w:style>
  <w:style w:type="paragraph" w:styleId="Style24" w:customStyle="1">
    <w:name w:val="Заголовок таблицы"/>
    <w:basedOn w:val="Style23"/>
    <w:qFormat/>
    <w:pPr/>
    <w:rPr/>
  </w:style>
  <w:style w:type="paragraph" w:styleId="DocumentMap" w:customStyle="1">
    <w:name w:val="Document Map"/>
    <w:qFormat/>
    <w:pPr>
      <w:widowControl/>
      <w:suppressAutoHyphens w:val="true"/>
      <w:bidi w:val="0"/>
      <w:spacing w:before="0" w:after="0"/>
      <w:jc w:val="left"/>
    </w:pPr>
    <w:rPr>
      <w:rFonts w:ascii="Times New Roman" w:hAnsi="Times New Roman" w:eastAsia="Times New Roman" w:cs="Times New Roman"/>
      <w:color w:val="00000A"/>
      <w:kern w:val="0"/>
      <w:sz w:val="24"/>
      <w:szCs w:val="20"/>
      <w:lang w:val="ru-RU" w:eastAsia="ru-RU" w:bidi="ar-SA"/>
    </w:rPr>
  </w:style>
  <w:style w:type="numbering" w:styleId="NoList" w:default="1">
    <w:name w:val="No List"/>
    <w:uiPriority w:val="99"/>
    <w:semiHidden/>
    <w:unhideWhenUsed/>
    <w:qFormat/>
  </w:style>
  <w:style w:type="table" w:default="1" w:styleId="a1">
    <w:name w:val="Normal Table"/>
    <w:uiPriority w:val="99"/>
    <w:semiHidden/>
    <w:unhideWhenUsed/>
    <w:tblPr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fontTable" Target="fontTable.xml"/><Relationship Id="rId3" Type="http://schemas.openxmlformats.org/officeDocument/2006/relationships/settings" Target="settings.xml"/><Relationship Id="rId4" Type="http://schemas.openxmlformats.org/officeDocument/2006/relationships/theme" Target="theme/theme1.xml"/>
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Application>LibreOffice/7.0.1.2$Windows_x86 LibreOffice_project/7cbcfc562f6eb6708b5ff7d7397325de9e764452</Application>
  <Pages>3</Pages>
  <Words>529</Words>
  <Characters>3903</Characters>
  <CharactersWithSpaces>4333</CharactersWithSpaces>
  <Paragraphs>104</Paragraphs>
  <Company>Hewlett-Packard Company</Compan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2020-01-20T14:42:00Z</dcterms:created>
  <dc:creator>Ларий Дарья Григорьевна</dc:creator>
  <dc:description/>
  <dc:language>ru-RU</dc:language>
  <cp:lastModifiedBy/>
  <dcterms:modified xsi:type="dcterms:W3CDTF">2020-12-18T15:42:31Z</dcterms:modified>
  <cp:revision>5</cp:revision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Company">
    <vt:lpwstr>Hewlett-Packard Company</vt:lpwstr>
  </property>
  <property fmtid="{D5CDD505-2E9C-101B-9397-08002B2CF9AE}" pid="4" name="DocSecurity">
    <vt:i4>0</vt:i4>
  </property>
  <property fmtid="{D5CDD505-2E9C-101B-9397-08002B2CF9AE}" pid="5" name="HyperlinksChanged">
    <vt:bool>0</vt:bool>
  </property>
  <property fmtid="{D5CDD505-2E9C-101B-9397-08002B2CF9AE}" pid="6" name="LinksUpToDate">
    <vt:bool>0</vt:bool>
  </property>
  <property fmtid="{D5CDD505-2E9C-101B-9397-08002B2CF9AE}" pid="7" name="ScaleCrop">
    <vt:bool>0</vt:bool>
  </property>
  <property fmtid="{D5CDD505-2E9C-101B-9397-08002B2CF9AE}" pid="8" name="ShareDoc">
    <vt:bool>0</vt:bool>
  </property>
</Properties>
</file>