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</w:rPr>
        <w:t>09-05/22319/721</w:t>
      </w:r>
    </w:p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подведения итогов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jc w:val="center"/>
        <w:rPr>
          <w:b/>
          <w:b/>
          <w:bCs/>
          <w:color w:val="000000"/>
        </w:rPr>
      </w:pPr>
      <w:r>
        <w:rPr>
          <w:rStyle w:val="FontStyle17"/>
          <w:rFonts w:eastAsia="Times New Roman"/>
          <w:color w:val="auto"/>
          <w:kern w:val="0"/>
          <w:sz w:val="20"/>
          <w:szCs w:val="20"/>
          <w:lang w:val="ru-RU" w:eastAsia="ru-RU" w:bidi="ar-SA"/>
        </w:rPr>
        <w:t xml:space="preserve">на право заключения контракта с 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ОБУЗ «Курская городская больница №2» </w:t>
      </w:r>
      <w:r>
        <w:rPr>
          <w:rStyle w:val="FontStyle13"/>
          <w:rFonts w:eastAsia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Комитета здравоохранения Курской области  на </w:t>
      </w:r>
      <w:r>
        <w:rPr>
          <w:rStyle w:val="FontStyle13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о</w:t>
      </w:r>
      <w:r>
        <w:rPr>
          <w:rStyle w:val="FontStyle13"/>
          <w:rFonts w:eastAsia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казание услуг по техническому обслуживанию системы видеонаблюдения и контроля доступа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(Регистрационный номер 09-05/22319)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b/>
          <w:b/>
          <w:sz w:val="20"/>
          <w:szCs w:val="20"/>
        </w:rPr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/>
          <w:bCs/>
          <w:i w:val="false"/>
          <w:iCs w:val="false"/>
          <w:color w:val="auto"/>
          <w:sz w:val="24"/>
          <w:szCs w:val="24"/>
        </w:rPr>
        <w:t>202462900045046320100101610018020244</w:t>
      </w:r>
    </w:p>
    <w:p>
      <w:pPr>
        <w:pStyle w:val="Normal"/>
        <w:tabs>
          <w:tab w:val="clear" w:pos="720"/>
          <w:tab w:val="left" w:pos="-1620" w:leader="none"/>
        </w:tabs>
        <w:rPr>
          <w:sz w:val="20"/>
          <w:szCs w:val="20"/>
        </w:rPr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color w:val="auto"/>
          <w:sz w:val="20"/>
          <w:szCs w:val="20"/>
          <w:lang w:eastAsia="ru-RU"/>
        </w:rPr>
        <w:t>Красная площадь, д. 6, подьезд 1.</w:t>
      </w:r>
      <w:r>
        <w:rPr>
          <w:color w:val="auto"/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               « </w:t>
      </w:r>
      <w:r>
        <w:rPr>
          <w:rFonts w:eastAsia="Times New Roman" w:cs="Times New Roman"/>
          <w:sz w:val="20"/>
          <w:szCs w:val="20"/>
          <w:lang w:eastAsia="ru-RU"/>
        </w:rPr>
        <w:t>29</w:t>
      </w:r>
      <w:r>
        <w:rPr>
          <w:sz w:val="20"/>
          <w:szCs w:val="20"/>
        </w:rPr>
        <w:t xml:space="preserve"> » </w:t>
      </w:r>
      <w:r>
        <w:rPr>
          <w:sz w:val="20"/>
          <w:szCs w:val="20"/>
        </w:rPr>
        <w:t>декабря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center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overflowPunct w:val="false"/>
              <w:bidi w:val="0"/>
              <w:spacing w:lineRule="auto" w:line="240" w:before="0" w:after="0"/>
              <w:ind w:left="0" w:right="0" w:hanging="340"/>
              <w:jc w:val="left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r>
          </w:p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Директор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исполняющая обязанности начальника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yellow"/>
                <w:lang w:val="ru-RU" w:eastAsia="ru-RU" w:bidi="ar-SA"/>
              </w:rPr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Дурнева Ирина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ru-RU" w:bidi="ar-SA"/>
              </w:rPr>
              <w:t>Консультант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 xml:space="preserve">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Карандакова Татьяна Николаевна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З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аместитель главного врача по экономическим вопросам –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Безуглова Екатерина Ивановна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ind w:left="0" w:right="0" w:hanging="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Заместитель главного врача по медицинской части —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Лякишева Елена Викторовна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начальника штаба ГО, ЧС и МР –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jc w:val="center"/>
        <w:rPr>
          <w:bCs/>
          <w:color w:val="000000"/>
        </w:rPr>
      </w:pP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ru-RU" w:bidi="ar-SA"/>
        </w:rPr>
        <w:t>О</w:t>
      </w:r>
      <w:r>
        <w:rPr>
          <w:rFonts w:eastAsia="Times New Roman" w:cs="Times New Roman"/>
          <w:b w:val="false"/>
          <w:bCs/>
          <w:color w:val="000000"/>
          <w:sz w:val="24"/>
          <w:szCs w:val="24"/>
          <w:lang w:val="ru-RU" w:eastAsia="ru-RU" w:bidi="ar-SA"/>
        </w:rPr>
        <w:t>казание услуг по техническому обслуживанию системы видеонаблюдения и контроля доступа</w:t>
      </w:r>
    </w:p>
    <w:p>
      <w:pPr>
        <w:pStyle w:val="Normal"/>
        <w:widowControl/>
        <w:tabs>
          <w:tab w:val="clear" w:pos="720"/>
          <w:tab w:val="left" w:pos="360" w:leader="none"/>
        </w:tabs>
        <w:ind w:hanging="0"/>
        <w:jc w:val="center"/>
        <w:rPr>
          <w:bCs/>
          <w:color w:val="000000"/>
        </w:rPr>
      </w:pPr>
      <w:r>
        <w:rPr>
          <w:bCs/>
          <w:color w:val="000000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jc w:val="center"/>
        <w:rPr>
          <w:rFonts w:ascii="Times New Roman" w:hAnsi="Times New Roman"/>
          <w:sz w:val="24"/>
          <w:szCs w:val="24"/>
        </w:rPr>
      </w:pPr>
      <w:r>
        <w:rPr>
          <w:b/>
          <w:bCs w:val="false"/>
          <w:color w:val="000000"/>
          <w:sz w:val="24"/>
          <w:szCs w:val="24"/>
          <w:highlight w:val="white"/>
          <w:lang w:val="ru-RU" w:eastAsia="ru-RU"/>
        </w:rPr>
        <w:t>54 266.63</w:t>
      </w:r>
      <w:r>
        <w:rPr>
          <w:b/>
          <w:bCs/>
          <w:color w:val="000000"/>
          <w:sz w:val="24"/>
          <w:szCs w:val="24"/>
          <w:highlight w:val="white"/>
          <w:lang w:val="ru-RU" w:eastAsia="ru-RU"/>
        </w:rPr>
        <w:t xml:space="preserve"> рублей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(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пятьдесят четыре тысячи двести шестьдесят шесть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рубл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highlight w:val="white"/>
          <w:lang w:val="ru-RU" w:eastAsia="ru-RU" w:bidi="ar-SA"/>
        </w:rPr>
        <w:t>ей</w:t>
      </w:r>
      <w:r>
        <w:rPr>
          <w:b w:val="false"/>
          <w:bCs w:val="false"/>
          <w:color w:val="000000"/>
          <w:sz w:val="24"/>
          <w:szCs w:val="24"/>
          <w:highlight w:val="white"/>
          <w:lang w:val="ru-RU" w:eastAsia="ru-RU"/>
        </w:rPr>
        <w:t xml:space="preserve"> 63 коп.)</w:t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  <w:t>На основании протокола проведения открытого аукциона в электронной форме  0744200000220004382</w:t>
      </w:r>
    </w:p>
    <w:p>
      <w:pPr>
        <w:pStyle w:val="Normal"/>
        <w:suppressLineNumbers/>
        <w:tabs>
          <w:tab w:val="clear" w:pos="720"/>
          <w:tab w:val="left" w:pos="709" w:leader="none"/>
        </w:tabs>
        <w:suppressAutoHyphens w:val="true"/>
        <w:jc w:val="both"/>
        <w:rPr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>
                <w:b/>
                <w:b/>
                <w:bCs/>
                <w:sz w:val="20"/>
                <w:szCs w:val="20"/>
              </w:rPr>
            </w:pPr>
            <w:hyperlink r:id="rId2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hyperlink r:id="rId3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4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bCs/>
                <w:sz w:val="20"/>
                <w:szCs w:val="20"/>
              </w:rPr>
            </w:pPr>
            <w:hyperlink r:id="rId5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 xml:space="preserve"> </w:t>
              </w:r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6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 xml:space="preserve"> </w:t>
              </w:r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участника</w:t>
              </w:r>
            </w:hyperlink>
          </w:p>
        </w:tc>
        <w:tc>
          <w:tcPr>
            <w:tcW w:w="34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7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Наименование участника</w:t>
              </w:r>
            </w:hyperlink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b/>
                <w:b/>
                <w:sz w:val="20"/>
                <w:szCs w:val="20"/>
              </w:rPr>
            </w:pPr>
            <w:hyperlink r:id="rId8">
              <w:r>
                <w:rPr>
                  <w:b/>
                  <w:bCs/>
                  <w:color w:val="000000"/>
                  <w:sz w:val="20"/>
                  <w:szCs w:val="20"/>
                  <w:u w:val="none"/>
                </w:rPr>
                <w:t>Сумма предложения, руб.</w:t>
              </w:r>
            </w:hyperlink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hyperlink r:id="rId9">
              <w:r>
                <w:rPr>
                  <w:rStyle w:val="FontStyle20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EA-69000</w:t>
            </w:r>
          </w:p>
        </w:tc>
        <w:tc>
          <w:tcPr>
            <w:tcW w:w="340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"СПЕЦМОНТАЖСЕРВИС"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27"/>
              <w:widowControl w:val="false"/>
              <w:spacing w:before="0" w:after="16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ru-RU" w:bidi="ar-SA"/>
              </w:rPr>
              <w:t>53 995,00 руб.</w:t>
            </w:r>
          </w:p>
        </w:tc>
      </w:tr>
    </w:tbl>
    <w:p>
      <w:pPr>
        <w:pStyle w:val="Normal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center"/>
        <w:rPr>
          <w:sz w:val="20"/>
          <w:szCs w:val="20"/>
        </w:rPr>
      </w:pPr>
      <w:hyperlink r:id="rId10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912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62"/>
        <w:gridCol w:w="4762"/>
      </w:tblGrid>
      <w:tr>
        <w:trPr>
          <w:trHeight w:val="397" w:hRule="atLeast"/>
        </w:trPr>
        <w:tc>
          <w:tcPr>
            <w:tcW w:w="436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1">
              <w:r>
                <w:rPr>
                  <w:sz w:val="16"/>
                  <w:szCs w:val="16"/>
                </w:rPr>
                <w:t>Члены комиссии</w:t>
              </w:r>
            </w:hyperlink>
          </w:p>
        </w:tc>
        <w:tc>
          <w:tcPr>
            <w:tcW w:w="476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2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3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4">
              <w:r>
                <w:rPr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u w:val="single"/>
                <w:lang w:val="ru-RU" w:eastAsia="ru-RU" w:bidi="ar-SA"/>
              </w:rPr>
              <w:t>EA-69000</w:t>
            </w:r>
          </w:p>
          <w:p>
            <w:pPr>
              <w:pStyle w:val="Style27"/>
              <w:widowControl w:val="false"/>
              <w:suppressAutoHyphens w:val="tru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Calibri" w:hAnsi="Calibri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ОБЩЕСТВО С ОГРАНИЧЕННОЙ ОТВЕТСТВЕННОСТЬЮ "СПЕЦМОНТАЖСЕРВИС"</w:t>
            </w:r>
          </w:p>
        </w:tc>
      </w:tr>
      <w:tr>
        <w:trPr>
          <w:trHeight w:val="397" w:hRule="atLeast"/>
        </w:trPr>
        <w:tc>
          <w:tcPr>
            <w:tcW w:w="436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auto"/>
                <w:spacing w:val="20"/>
                <w:kern w:val="0"/>
                <w:sz w:val="20"/>
                <w:szCs w:val="28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476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5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436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auto"/>
                <w:spacing w:val="20"/>
                <w:kern w:val="0"/>
                <w:sz w:val="20"/>
                <w:szCs w:val="28"/>
                <w:lang w:val="ru-RU" w:eastAsia="ru-RU" w:bidi="ar-SA"/>
              </w:rPr>
              <w:t>Сидорова Светлана Владимировна</w:t>
            </w:r>
          </w:p>
        </w:tc>
        <w:tc>
          <w:tcPr>
            <w:tcW w:w="476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6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4362" w:type="dxa"/>
            <w:tcBorders/>
            <w:vAlign w:val="center"/>
          </w:tcPr>
          <w:p>
            <w:pPr>
              <w:pStyle w:val="Style27"/>
              <w:widowControl w:val="false"/>
              <w:suppressAutoHyphens w:val="true"/>
              <w:spacing w:lineRule="atLeast" w:line="100" w:before="0" w:after="0"/>
              <w:ind w:left="-70" w:right="3" w:hanging="0"/>
              <w:jc w:val="left"/>
              <w:rPr>
                <w:rFonts w:cs="Times New Roman"/>
                <w:sz w:val="16"/>
                <w:szCs w:val="16"/>
              </w:rPr>
            </w:pPr>
            <w:r>
              <w:rPr>
                <w:rStyle w:val="FontStyle13"/>
                <w:rFonts w:eastAsia="Times New Roman" w:ascii="Calibri" w:hAnsi="Calibri"/>
                <w:color w:val="auto"/>
                <w:spacing w:val="20"/>
                <w:kern w:val="0"/>
                <w:sz w:val="20"/>
                <w:szCs w:val="20"/>
                <w:highlight w:val="whit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ascii="Calibri" w:hAnsi="Calibri"/>
                <w:color w:val="auto"/>
                <w:spacing w:val="20"/>
                <w:kern w:val="0"/>
                <w:sz w:val="20"/>
                <w:szCs w:val="20"/>
                <w:highlight w:val="white"/>
                <w:lang w:val="ru-RU" w:eastAsia="ru-RU" w:bidi="ar-SA"/>
              </w:rPr>
              <w:t>Костина    Анастасия Сергеевна</w:t>
            </w:r>
          </w:p>
        </w:tc>
        <w:tc>
          <w:tcPr>
            <w:tcW w:w="476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7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4362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pacing w:val="20"/>
                <w:sz w:val="24"/>
                <w:szCs w:val="24"/>
                <w:lang w:val="ru-RU" w:eastAsia="zh-CN" w:bidi="ar-SA"/>
              </w:rPr>
              <w:t>Дурнева Ирина Николаевна</w:t>
            </w:r>
          </w:p>
        </w:tc>
        <w:tc>
          <w:tcPr>
            <w:tcW w:w="476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8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4362" w:type="dxa"/>
            <w:tcBorders/>
            <w:vAlign w:val="center"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24"/>
                <w:szCs w:val="24"/>
                <w:lang w:val="en-US" w:eastAsia="zh-CN" w:bidi="ar-SA"/>
              </w:rPr>
              <w:t>Карандакова Татьяна Николаевна</w:t>
            </w:r>
          </w:p>
        </w:tc>
        <w:tc>
          <w:tcPr>
            <w:tcW w:w="476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19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43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24"/>
                <w:szCs w:val="24"/>
                <w:lang w:val="en-US" w:eastAsia="zh-CN" w:bidi="ar-SA"/>
              </w:rPr>
              <w:t>Безуглова Екатерина Ивановна</w:t>
            </w:r>
          </w:p>
        </w:tc>
        <w:tc>
          <w:tcPr>
            <w:tcW w:w="47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0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43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auto"/>
                <w:spacing w:val="20"/>
                <w:kern w:val="0"/>
                <w:sz w:val="24"/>
                <w:szCs w:val="24"/>
                <w:lang w:val="en-US" w:eastAsia="zh-CN" w:bidi="ar-SA"/>
              </w:rPr>
              <w:t>Лякишева Елена Викторовна</w:t>
            </w:r>
          </w:p>
        </w:tc>
        <w:tc>
          <w:tcPr>
            <w:tcW w:w="476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hyperlink r:id="rId21">
              <w:r>
                <w:rPr>
                  <w:sz w:val="16"/>
                  <w:szCs w:val="16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аукционе , аукцион в электронной форме </w:t>
      </w:r>
      <w:r>
        <w:rPr>
          <w:rStyle w:val="FontStyle13"/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ru-RU" w:bidi="ar-SA"/>
        </w:rPr>
        <w:t xml:space="preserve">на право заключения контракта с 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ОБУЗ «Курская городская больница №2» </w:t>
      </w:r>
      <w:r>
        <w:rPr>
          <w:rStyle w:val="FontStyle13"/>
          <w:rFonts w:eastAsia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Комитета здравоохранения Курской области  на </w:t>
      </w:r>
      <w:r>
        <w:rPr>
          <w:rStyle w:val="FontStyle13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о</w:t>
      </w:r>
      <w:r>
        <w:rPr>
          <w:rStyle w:val="FontStyle13"/>
          <w:rFonts w:eastAsia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казание услуг по техническому обслуживанию системы видеонаблюдения и контроля доступа</w:t>
      </w:r>
      <w:r>
        <w:rPr>
          <w:rFonts w:eastAsia="Times New Roman" w:cs="Times New Roman"/>
          <w:b w:val="false"/>
          <w:bCs w:val="false"/>
          <w:color w:val="auto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auto"/>
          <w:kern w:val="0"/>
          <w:sz w:val="20"/>
          <w:szCs w:val="20"/>
          <w:lang w:val="ru-RU" w:eastAsia="ru-RU" w:bidi="ar-SA"/>
        </w:rPr>
        <w:t>признается несостоявшимся.</w:t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hyperlink r:id="rId22">
        <w:r>
          <w:rPr>
            <w:sz w:val="20"/>
            <w:szCs w:val="20"/>
          </w:rPr>
  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  </w:r>
      </w:hyperlink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35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79"/>
        <w:gridCol w:w="1874"/>
      </w:tblGrid>
      <w:tr>
        <w:trPr>
          <w:trHeight w:val="737" w:hRule="atLeast"/>
        </w:trPr>
        <w:tc>
          <w:tcPr>
            <w:tcW w:w="7479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hyperlink r:id="rId23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1874" w:type="dxa"/>
            <w:tcBorders/>
          </w:tcPr>
          <w:p>
            <w:pPr>
              <w:pStyle w:val="Normal"/>
              <w:widowControl w:val="false"/>
              <w:ind w:right="-416" w:hanging="0"/>
              <w:jc w:val="both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А. Н. Полторацкий</w:t>
            </w:r>
          </w:p>
        </w:tc>
      </w:tr>
      <w:tr>
        <w:trPr>
          <w:trHeight w:val="737" w:hRule="atLeast"/>
        </w:trPr>
        <w:tc>
          <w:tcPr>
            <w:tcW w:w="7479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24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1874" w:type="dxa"/>
            <w:tcBorders/>
          </w:tcPr>
          <w:p>
            <w:pPr>
              <w:pStyle w:val="Normal"/>
              <w:widowControl w:val="false"/>
              <w:ind w:right="-416" w:hanging="0"/>
              <w:jc w:val="both"/>
              <w:rPr>
                <w:sz w:val="16"/>
                <w:szCs w:val="16"/>
              </w:rPr>
            </w:pPr>
            <w:hyperlink r:id="rId25">
              <w:r>
                <w:rPr>
                  <w:rFonts w:eastAsia="Times New Roman" w:cs="Times New Roman"/>
                  <w:color w:val="000000"/>
                  <w:sz w:val="20"/>
                  <w:szCs w:val="20"/>
                  <w:u w:val="non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 В. Сидорова</w:t>
            </w:r>
          </w:p>
        </w:tc>
      </w:tr>
      <w:tr>
        <w:trPr>
          <w:trHeight w:val="737" w:hRule="atLeast"/>
        </w:trPr>
        <w:tc>
          <w:tcPr>
            <w:tcW w:w="7479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26">
              <w:r>
                <w:rPr>
                  <w:sz w:val="20"/>
                  <w:szCs w:val="20"/>
                </w:rPr>
                <w:t>Секретарь комиссии:</w:t>
              </w:r>
            </w:hyperlink>
          </w:p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</w:r>
          </w:p>
        </w:tc>
        <w:tc>
          <w:tcPr>
            <w:tcW w:w="1874" w:type="dxa"/>
            <w:tcBorders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А. С. Костина</w:t>
            </w:r>
          </w:p>
        </w:tc>
      </w:tr>
      <w:tr>
        <w:trPr>
          <w:trHeight w:val="2379" w:hRule="atLeast"/>
        </w:trPr>
        <w:tc>
          <w:tcPr>
            <w:tcW w:w="7479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auto"/>
                <w:sz w:val="20"/>
                <w:szCs w:val="20"/>
              </w:rPr>
            </w:pPr>
            <w:hyperlink r:id="rId27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1874" w:type="dxa"/>
            <w:tcBorders/>
          </w:tcPr>
          <w:p>
            <w:pPr>
              <w:pStyle w:val="Normal"/>
              <w:widowControl w:val="false"/>
              <w:ind w:right="-416" w:hanging="0"/>
              <w:rPr>
                <w:rStyle w:val="FontStyle13"/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И.Н. Дурнева</w:t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>Т.Н. Карандакова</w:t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Е.И. </w:t>
            </w:r>
            <w:r>
              <w:rPr>
                <w:rFonts w:eastAsia="Times New Roman" w:cs="Times New Roman"/>
                <w:color w:val="auto"/>
                <w:kern w:val="0"/>
                <w:sz w:val="20"/>
                <w:szCs w:val="20"/>
                <w:lang w:val="en-US" w:eastAsia="zh-CN" w:bidi="ar-SA"/>
              </w:rPr>
              <w:t>Безуглова</w:t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Е.В. Лякишева</w:t>
            </w:r>
          </w:p>
          <w:p>
            <w:pPr>
              <w:pStyle w:val="Normal"/>
              <w:widowControl w:val="false"/>
              <w:ind w:right="-416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../common/auction/view/id/44853" TargetMode="External"/><Relationship Id="rId3" Type="http://schemas.openxmlformats.org/officeDocument/2006/relationships/hyperlink" Target="../../../../../common/auction/view/id/44853" TargetMode="External"/><Relationship Id="rId4" Type="http://schemas.openxmlformats.org/officeDocument/2006/relationships/hyperlink" Target="../../../../../common/auction/view/id/44853" TargetMode="External"/><Relationship Id="rId5" Type="http://schemas.openxmlformats.org/officeDocument/2006/relationships/hyperlink" Target="../../../../../common/auction/view/id/44853" TargetMode="External"/><Relationship Id="rId6" Type="http://schemas.openxmlformats.org/officeDocument/2006/relationships/hyperlink" Target="../../../../../common/auction/view/id/44853" TargetMode="External"/><Relationship Id="rId7" Type="http://schemas.openxmlformats.org/officeDocument/2006/relationships/hyperlink" Target="../../../../../common/auction/view/id/44853" TargetMode="External"/><Relationship Id="rId8" Type="http://schemas.openxmlformats.org/officeDocument/2006/relationships/hyperlink" Target="../../../../../common/auction/view/id/44853" TargetMode="External"/><Relationship Id="rId9" Type="http://schemas.openxmlformats.org/officeDocument/2006/relationships/hyperlink" Target="../../../../../common/auction/view/id/44853" TargetMode="External"/><Relationship Id="rId10" Type="http://schemas.openxmlformats.org/officeDocument/2006/relationships/hyperlink" Target="../../../../../common/auction/view/id/44547" TargetMode="External"/><Relationship Id="rId11" Type="http://schemas.openxmlformats.org/officeDocument/2006/relationships/hyperlink" Target="../../../../../common/auction/view/id/44547" TargetMode="External"/><Relationship Id="rId12" Type="http://schemas.openxmlformats.org/officeDocument/2006/relationships/hyperlink" Target="../../../../../common/auction/view/id/44547" TargetMode="External"/><Relationship Id="rId13" Type="http://schemas.openxmlformats.org/officeDocument/2006/relationships/hyperlink" Target="../../../../../common/auction/view/id/44547" TargetMode="External"/><Relationship Id="rId14" Type="http://schemas.openxmlformats.org/officeDocument/2006/relationships/hyperlink" Target="../../../../../common/auction/view/id/44547" TargetMode="External"/><Relationship Id="rId15" Type="http://schemas.openxmlformats.org/officeDocument/2006/relationships/hyperlink" Target="../../../../../common/auction/view/id/44547" TargetMode="External"/><Relationship Id="rId16" Type="http://schemas.openxmlformats.org/officeDocument/2006/relationships/hyperlink" Target="../../../../../common/auction/view/id/44547" TargetMode="External"/><Relationship Id="rId17" Type="http://schemas.openxmlformats.org/officeDocument/2006/relationships/hyperlink" Target="../../../../../common/auction/view/id/44547" TargetMode="External"/><Relationship Id="rId18" Type="http://schemas.openxmlformats.org/officeDocument/2006/relationships/hyperlink" Target="../../../../../common/auction/view/id/44547" TargetMode="External"/><Relationship Id="rId19" Type="http://schemas.openxmlformats.org/officeDocument/2006/relationships/hyperlink" Target="../../../../../common/auction/view/id/44547" TargetMode="External"/><Relationship Id="rId20" Type="http://schemas.openxmlformats.org/officeDocument/2006/relationships/hyperlink" Target="../../../../../common/auction/view/id/44547" TargetMode="External"/><Relationship Id="rId21" Type="http://schemas.openxmlformats.org/officeDocument/2006/relationships/hyperlink" Target="../../../../../common/auction/view/id/44547" TargetMode="External"/><Relationship Id="rId22" Type="http://schemas.openxmlformats.org/officeDocument/2006/relationships/hyperlink" Target="../../../../../common/auction/view/id/44547" TargetMode="External"/><Relationship Id="rId23" Type="http://schemas.openxmlformats.org/officeDocument/2006/relationships/hyperlink" Target="../../../../../common/auction/view/id/44547" TargetMode="External"/><Relationship Id="rId24" Type="http://schemas.openxmlformats.org/officeDocument/2006/relationships/hyperlink" Target="../../../../../common/auction/view/id/44547" TargetMode="External"/><Relationship Id="rId25" Type="http://schemas.openxmlformats.org/officeDocument/2006/relationships/hyperlink" Target="../../../../../common/auction/view/id/44547" TargetMode="External"/><Relationship Id="rId26" Type="http://schemas.openxmlformats.org/officeDocument/2006/relationships/hyperlink" Target="../../../../../common/auction/view/id/44547" TargetMode="External"/><Relationship Id="rId27" Type="http://schemas.openxmlformats.org/officeDocument/2006/relationships/hyperlink" Target="../../../../../common/auction/view/id/44547" TargetMode="External"/><Relationship Id="rId28" Type="http://schemas.openxmlformats.org/officeDocument/2006/relationships/fontTable" Target="fontTable.xml"/><Relationship Id="rId29" Type="http://schemas.openxmlformats.org/officeDocument/2006/relationships/settings" Target="settings.xml"/><Relationship Id="rId30" Type="http://schemas.openxmlformats.org/officeDocument/2006/relationships/theme" Target="theme/theme1.xml"/><Relationship Id="rId3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1378</TotalTime>
  <Application>LibreOffice/7.0.1.2$Windows_x86 LibreOffice_project/7cbcfc562f6eb6708b5ff7d7397325de9e764452</Application>
  <Pages>2</Pages>
  <Words>414</Words>
  <Characters>3102</Characters>
  <CharactersWithSpaces>3718</CharactersWithSpaces>
  <Paragraphs>74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2020-12-29T16:55:56Z</dcterms:modified>
  <cp:revision>332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