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1"/>
          <w:szCs w:val="21"/>
        </w:rPr>
      </w:pPr>
      <w:r>
        <w:rPr>
          <w:rFonts w:eastAsia="Times New Roman"/>
          <w:b/>
          <w:bCs/>
          <w:sz w:val="21"/>
          <w:szCs w:val="21"/>
        </w:rPr>
        <w:t xml:space="preserve">ПРОТОКОЛ №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1"/>
          <w:szCs w:val="21"/>
          <w:u w:val="none"/>
          <w:em w:val="none"/>
        </w:rPr>
        <w:t>03.2-4/661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/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сопровождению программного продукта «Электронная медицина. Реестры» (Информационно-аналитическая система обязательного медицинского страхования)"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0744200000221000067)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03.02.21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ОБЛАСТНАЯ ДЕТСКАЯ БОЛЬНИЦА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сопровождению программного продукта «Электронная медицина. Реестры» (Информационно-аналитическая система обязательного медицинского страхования)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212462904067946320100100150016203244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132 825,00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Истомина Анна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Королев Николай Маркиянович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Филонова Анастасия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6"/>
        <w:gridCol w:w="2891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6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EA-71147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"АВТОМАТИЗИРОВАННЫЕ ИНФОРМАЦИОННЫЕ СИСТЕМЫ "ЯМЕД" / 4632224764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"АВТОМАТИЗИРОВАННЫЕ ИНФОРМАЦИОННЫЕ СИСТЕМЫ "ЯМЕД".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Истомина Анна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Королев Николай Маркиянович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Филонова Анастасия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477</Words>
  <Characters>3793</Characters>
  <CharactersWithSpaces>4186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2021-02-03T10:35:41Z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