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212461100214346110100100200011032244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3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00"/>
        <w:gridCol w:w="4013"/>
        <w:gridCol w:w="3419"/>
      </w:tblGrid>
      <w:tr>
        <w:trPr>
          <w:trHeight w:val="285" w:hRule="atLeast"/>
        </w:trPr>
        <w:tc>
          <w:tcPr>
            <w:tcW w:w="10032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 / 3661082978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9 094,00 руб.</w:t>
            </w:r>
          </w:p>
        </w:tc>
      </w:tr>
      <w:tr>
        <w:trPr/>
        <w:tc>
          <w:tcPr>
            <w:tcW w:w="26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</w:tc>
        <w:tc>
          <w:tcPr>
            <w:tcW w:w="4013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9 200,00 руб.</w:t>
            </w:r>
          </w:p>
        </w:tc>
      </w:tr>
      <w:tr>
        <w:trPr/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11 532,00 руб.</w:t>
            </w:r>
          </w:p>
        </w:tc>
      </w:tr>
      <w:tr>
        <w:trPr/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11 956,00 руб.</w:t>
            </w:r>
          </w:p>
        </w:tc>
      </w:tr>
      <w:tr>
        <w:trPr/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"СОЦИАЛЬНЫЙ ПРОЕКТ"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"СОЦИАЛЬНЫЙ ПРОЕКТ", предложивший цену контракта 9 094,00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"СОЦИАЛЬНЫЙ 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753</Words>
  <Characters>5930</Characters>
  <CharactersWithSpaces>6442</CharactersWithSpaces>
  <Paragraphs>253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2021-02-26T10:48:23Z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