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Протокол рассмотрения единственной заявки на участие в электронном аукционе</w:t>
      </w:r>
    </w:p>
    <w:p>
      <w:pPr>
        <w:pStyle w:val="Normal"/>
        <w:ind w:firstLine="567"/>
        <w:jc w:val="center"/>
        <w:rPr>
          <w:lang w:val="en-US"/>
        </w:rPr>
      </w:pPr>
      <w:r>
        <w:rPr>
          <w:rFonts w:eastAsia="Times New Roman"/>
          <w:b/>
          <w:bCs/>
          <w:sz w:val="20"/>
          <w:szCs w:val="20"/>
          <w:lang w:val="en-US"/>
        </w:rPr>
        <w:t xml:space="preserve">"Поставка марлевых стерильных тампонов" </w:t>
      </w:r>
    </w:p>
    <w:p>
      <w:pPr>
        <w:pStyle w:val="Normal"/>
        <w:ind w:firstLine="567"/>
        <w:jc w:val="center"/>
        <w:rPr>
          <w:rFonts w:eastAsia="Times New Roman"/>
          <w:b/>
          <w:b/>
          <w:bCs/>
          <w:lang w:val="en-US"/>
        </w:rPr>
      </w:pPr>
      <w:r>
        <w:rPr>
          <w:rFonts w:eastAsia="Times New Roman"/>
          <w:b/>
          <w:bCs/>
          <w:sz w:val="20"/>
          <w:szCs w:val="20"/>
          <w:lang w:val="en-US"/>
        </w:rPr>
        <w:t xml:space="preserve"> </w:t>
      </w:r>
      <w:r>
        <w:rPr>
          <w:rFonts w:eastAsia="Times New Roman" w:cs="Times New Roman"/>
          <w:b/>
          <w:sz w:val="20"/>
          <w:szCs w:val="20"/>
        </w:rPr>
        <w:t>№</w:t>
      </w:r>
      <w:r>
        <w:rPr>
          <w:rFonts w:eastAsia="Times New Roman" w:cs="Times New Roman"/>
          <w:b/>
          <w:sz w:val="20"/>
          <w:szCs w:val="20"/>
        </w:rPr>
        <w:t>03.1-4/</w:t>
      </w:r>
      <w:r>
        <w:rPr>
          <w:rFonts w:eastAsia="Times New Roman" w:cs="Times New Roman"/>
          <w:b/>
          <w:bCs/>
          <w:sz w:val="20"/>
          <w:szCs w:val="20"/>
          <w:lang w:val="en-US"/>
        </w:rPr>
        <w:t>700</w:t>
      </w:r>
    </w:p>
    <w:p>
      <w:pPr>
        <w:pStyle w:val="Normal"/>
        <w:spacing w:lineRule="auto" w:line="240" w:before="0" w:after="0"/>
        <w:ind w:left="0" w:right="0" w:hanging="0"/>
        <w:jc w:val="center"/>
        <w:rPr>
          <w:rFonts w:eastAsia="Times New Roman"/>
          <w:b/>
          <w:b/>
          <w:bCs/>
          <w:lang w:val="en-US"/>
        </w:rPr>
      </w:pPr>
      <w:r>
        <w:rPr>
          <w:rFonts w:eastAsia="Times New Roman" w:cs="Times New Roman"/>
          <w:b/>
          <w:i w:val="false"/>
          <w:iCs w:val="false"/>
          <w:sz w:val="20"/>
          <w:szCs w:val="20"/>
        </w:rPr>
        <w:t xml:space="preserve">(Регистрационный номер </w:t>
      </w:r>
      <w:r>
        <w:rPr>
          <w:rFonts w:eastAsia="Times New Roman" w:cs="Times New Roman"/>
          <w:b/>
          <w:bCs/>
          <w:i w:val="false"/>
          <w:iCs w:val="false"/>
          <w:color w:val="000000"/>
          <w:sz w:val="20"/>
          <w:szCs w:val="20"/>
        </w:rPr>
        <w:t>09-05/23541</w:t>
      </w:r>
      <w:r>
        <w:rPr>
          <w:rFonts w:eastAsia="Times New Roman" w:cs="Times New Roman"/>
          <w:b/>
          <w:bCs/>
          <w:i w:val="false"/>
          <w:iCs w:val="false"/>
          <w:kern w:val="0"/>
          <w:sz w:val="20"/>
          <w:szCs w:val="20"/>
          <w:lang w:eastAsia="ar-SA"/>
        </w:rPr>
        <w:t xml:space="preserve"> )</w:t>
      </w:r>
    </w:p>
    <w:p>
      <w:pPr>
        <w:pStyle w:val="Normal"/>
        <w:ind w:firstLine="567"/>
        <w:jc w:val="center"/>
        <w:rPr>
          <w:sz w:val="20"/>
          <w:szCs w:val="20"/>
          <w:lang w:val="en-US"/>
        </w:rPr>
      </w:pPr>
      <w:r>
        <w:rPr>
          <w:sz w:val="20"/>
          <w:szCs w:val="20"/>
          <w:lang w:val="en-US"/>
        </w:rPr>
      </w:r>
    </w:p>
    <w:p>
      <w:pPr>
        <w:pStyle w:val="Normal"/>
        <w:ind w:firstLine="567"/>
        <w:jc w:val="right"/>
        <w:rPr>
          <w:lang w:val="en-US"/>
        </w:rPr>
      </w:pPr>
      <w:r>
        <w:rPr>
          <w:lang w:val="en-US"/>
        </w:rPr>
      </w:r>
    </w:p>
    <w:p>
      <w:pPr>
        <w:pStyle w:val="Normal"/>
        <w:ind w:hanging="0"/>
        <w:jc w:val="right"/>
        <w:rPr>
          <w:lang w:val="en-US"/>
        </w:rPr>
      </w:pPr>
      <w:r>
        <w:rPr>
          <w:rFonts w:eastAsia="Times New Roman" w:cs="Times New Roman"/>
          <w:sz w:val="20"/>
          <w:szCs w:val="20"/>
          <w:lang w:val="en-US"/>
        </w:rPr>
        <w:t>«</w:t>
      </w:r>
      <w:r>
        <w:rPr>
          <w:rFonts w:eastAsia="Times New Roman" w:cs="Times New Roman"/>
          <w:sz w:val="20"/>
          <w:szCs w:val="20"/>
          <w:lang w:val="en-US"/>
        </w:rPr>
        <w:t xml:space="preserve"> </w:t>
      </w:r>
      <w:r>
        <w:rPr>
          <w:rFonts w:eastAsia="Times New Roman" w:cs="Times New Roman"/>
          <w:sz w:val="20"/>
          <w:szCs w:val="20"/>
          <w:lang w:val="en-US"/>
        </w:rPr>
        <w:t>02</w:t>
      </w:r>
      <w:r>
        <w:rPr>
          <w:rFonts w:eastAsia="Times New Roman" w:cs="Times New Roman"/>
          <w:sz w:val="20"/>
          <w:szCs w:val="20"/>
          <w:lang w:val="en-US"/>
        </w:rPr>
        <w:t xml:space="preserve"> </w:t>
      </w:r>
      <w:r>
        <w:rPr>
          <w:rFonts w:eastAsia="Times New Roman" w:cs="Times New Roman"/>
          <w:sz w:val="20"/>
          <w:szCs w:val="20"/>
          <w:lang w:val="en-US"/>
        </w:rPr>
        <w:t xml:space="preserve">» </w:t>
      </w:r>
      <w:r>
        <w:rPr>
          <w:rFonts w:eastAsia="Times New Roman" w:cs="Times New Roman"/>
          <w:sz w:val="20"/>
          <w:szCs w:val="20"/>
          <w:lang w:val="ru-RU"/>
        </w:rPr>
        <w:t>марта</w:t>
      </w:r>
      <w:r>
        <w:rPr>
          <w:rFonts w:eastAsia="Times New Roman"/>
          <w:sz w:val="20"/>
          <w:szCs w:val="20"/>
          <w:lang w:val="ru-RU"/>
        </w:rPr>
        <w:t>.2021г.</w:t>
      </w:r>
    </w:p>
    <w:p>
      <w:pPr>
        <w:pStyle w:val="Normal"/>
        <w:ind w:firstLine="567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widowControl/>
        <w:overflowPunct w:val="false"/>
        <w:bidi w:val="0"/>
        <w:ind w:left="0" w:right="0" w:hanging="0"/>
        <w:jc w:val="left"/>
        <w:rPr/>
      </w:pPr>
      <w:r>
        <w:rPr>
          <w:rFonts w:eastAsia="Times New Roman"/>
          <w:sz w:val="20"/>
          <w:szCs w:val="20"/>
          <w:lang w:val="ru-RU"/>
        </w:rPr>
        <w:t>Место публикации: Российская Федерация, 305029, Курская обл, Курск г, Красный Октябрь, д.21, ОФИС 3</w:t>
      </w:r>
    </w:p>
    <w:p>
      <w:pPr>
        <w:pStyle w:val="Normal"/>
        <w:jc w:val="left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left"/>
        <w:rPr>
          <w:lang w:val="en-US"/>
        </w:rPr>
      </w:pPr>
      <w:r>
        <w:rPr>
          <w:rFonts w:eastAsia="Times New Roman"/>
          <w:sz w:val="20"/>
          <w:szCs w:val="20"/>
        </w:rPr>
        <w:t>Организатор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>
        <w:rPr>
          <w:rFonts w:eastAsia="Times New Roman"/>
          <w:sz w:val="20"/>
          <w:szCs w:val="20"/>
          <w:lang w:val="en-US"/>
        </w:rPr>
        <w:t>: ОБЛАСТНОЕ КАЗЕННОЕ УЧРЕЖДЕНИЕ "ЦЕНТР ЗАКУПОК КУРСКОЙ ОБЛАСТИ"</w:t>
      </w:r>
    </w:p>
    <w:p>
      <w:pPr>
        <w:pStyle w:val="Normal"/>
        <w:jc w:val="left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jc w:val="left"/>
        <w:rPr/>
      </w:pPr>
      <w:r>
        <w:rPr>
          <w:rFonts w:eastAsia="Times New Roman"/>
          <w:sz w:val="20"/>
          <w:szCs w:val="20"/>
          <w:lang w:val="en-US"/>
        </w:rPr>
        <w:t>Заказчик: ОБЛАСТНОЕ БЮДЖЕТНОЕ УЧРЕЖДЕНИЕ ЗДРАВООХРАНЕНИЯ  "ОФТАЛЬМОЛОГИЧЕСКАЯ КЛИНИЧЕСКАЯ БОЛЬНИЦА - ОФТАЛЬМОЛОГИЧЕСКИЙ ЦЕНТР" КОМИТЕТА ЗДРАВООХРАНЕНИЯ КУРСКОЙ ОБЛАСТИ</w:t>
      </w:r>
    </w:p>
    <w:p>
      <w:pPr>
        <w:pStyle w:val="Normal"/>
        <w:jc w:val="left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jc w:val="left"/>
        <w:rPr>
          <w:lang w:val="en-US"/>
        </w:rPr>
      </w:pPr>
      <w:r>
        <w:rPr>
          <w:rFonts w:eastAsia="Times New Roman"/>
          <w:sz w:val="20"/>
          <w:szCs w:val="20"/>
        </w:rPr>
        <w:t>Наименование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закупки</w:t>
      </w:r>
      <w:r>
        <w:rPr>
          <w:rFonts w:eastAsia="Times New Roman"/>
          <w:sz w:val="20"/>
          <w:szCs w:val="20"/>
          <w:lang w:val="en-US"/>
        </w:rPr>
        <w:t xml:space="preserve">: Поставка марлевых стерильных тампонов </w:t>
      </w:r>
    </w:p>
    <w:p>
      <w:pPr>
        <w:pStyle w:val="Normal"/>
        <w:jc w:val="left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jc w:val="left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ru-RU"/>
        </w:rPr>
        <w:t>Идентификационный код закупки: 212462900916446320100100080012120244</w:t>
      </w:r>
    </w:p>
    <w:p>
      <w:pPr>
        <w:pStyle w:val="Normal"/>
        <w:jc w:val="left"/>
        <w:rPr>
          <w:lang w:val="ru-RU"/>
        </w:rPr>
      </w:pPr>
      <w:r>
        <w:rPr>
          <w:lang w:val="ru-RU"/>
        </w:rPr>
      </w:r>
    </w:p>
    <w:p>
      <w:pPr>
        <w:pStyle w:val="Normal"/>
        <w:jc w:val="left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Начальная (максимальная) цена контракта/Максимальное значение цены контракта: 392 263,20 руб.</w:t>
      </w:r>
    </w:p>
    <w:p>
      <w:pPr>
        <w:pStyle w:val="Normal"/>
        <w:jc w:val="left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left"/>
        <w:rPr/>
      </w:pPr>
      <w:r>
        <w:rPr>
          <w:rFonts w:eastAsia="Times New Roman"/>
          <w:sz w:val="20"/>
          <w:szCs w:val="20"/>
        </w:rPr>
        <w:t>Состав аукционной комиссии:</w:t>
      </w:r>
    </w:p>
    <w:tbl>
      <w:tblPr>
        <w:tblW w:w="9927" w:type="dxa"/>
        <w:jc w:val="left"/>
        <w:tblInd w:w="1" w:type="dxa"/>
        <w:tblCellMar>
          <w:top w:w="15" w:type="dxa"/>
          <w:left w:w="15" w:type="dxa"/>
          <w:bottom w:w="15" w:type="dxa"/>
          <w:right w:w="15" w:type="dxa"/>
        </w:tblCellMar>
        <w:tblLook w:firstRow="1" w:noVBand="1" w:lastRow="0" w:firstColumn="1" w:lastColumn="0" w:noHBand="0" w:val="04a0"/>
      </w:tblPr>
      <w:tblGrid>
        <w:gridCol w:w="3399"/>
        <w:gridCol w:w="3401"/>
        <w:gridCol w:w="3127"/>
      </w:tblGrid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jc w:val="left"/>
              <w:rPr/>
            </w:pPr>
            <w:r>
              <w:rPr>
                <w:sz w:val="20"/>
                <w:szCs w:val="20"/>
                <w:lang w:val="en-US"/>
              </w:rPr>
              <w:t>Председатель комиссии</w:t>
            </w:r>
          </w:p>
        </w:tc>
        <w:tc>
          <w:tcPr>
            <w:tcW w:w="3401" w:type="dxa"/>
            <w:tcBorders/>
            <w:shd w:fill="auto" w:val="clear"/>
          </w:tcPr>
          <w:p>
            <w:pPr>
              <w:pStyle w:val="Normal"/>
              <w:jc w:val="left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Резниченко Галина Ивановна</w:t>
            </w:r>
          </w:p>
        </w:tc>
        <w:tc>
          <w:tcPr>
            <w:tcW w:w="3127" w:type="dxa"/>
            <w:tcBorders/>
            <w:shd w:fill="auto" w:val="clear"/>
          </w:tcPr>
          <w:p>
            <w:pPr>
              <w:pStyle w:val="Normal"/>
              <w:jc w:val="left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jc w:val="left"/>
              <w:rPr/>
            </w:pPr>
            <w:r>
              <w:rPr>
                <w:sz w:val="20"/>
                <w:szCs w:val="20"/>
                <w:lang w:val="en-US"/>
              </w:rPr>
              <w:t>Зам. председателя комиссии</w:t>
            </w:r>
          </w:p>
        </w:tc>
        <w:tc>
          <w:tcPr>
            <w:tcW w:w="3401" w:type="dxa"/>
            <w:tcBorders/>
            <w:shd w:fill="auto" w:val="clear"/>
          </w:tcPr>
          <w:p>
            <w:pPr>
              <w:pStyle w:val="Normal"/>
              <w:jc w:val="left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Меркель Светлана Леоновна</w:t>
            </w:r>
          </w:p>
        </w:tc>
        <w:tc>
          <w:tcPr>
            <w:tcW w:w="3127" w:type="dxa"/>
            <w:tcBorders/>
            <w:shd w:fill="auto" w:val="clear"/>
          </w:tcPr>
          <w:p>
            <w:pPr>
              <w:pStyle w:val="Normal"/>
              <w:jc w:val="left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jc w:val="left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1" w:type="dxa"/>
            <w:tcBorders/>
            <w:shd w:fill="auto" w:val="clear"/>
          </w:tcPr>
          <w:p>
            <w:pPr>
              <w:pStyle w:val="Normal"/>
              <w:jc w:val="left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Тимошенко Ирина Сергеевна</w:t>
            </w:r>
          </w:p>
        </w:tc>
        <w:tc>
          <w:tcPr>
            <w:tcW w:w="3127" w:type="dxa"/>
            <w:tcBorders/>
            <w:shd w:fill="auto" w:val="clear"/>
          </w:tcPr>
          <w:p>
            <w:pPr>
              <w:pStyle w:val="Normal"/>
              <w:jc w:val="left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jc w:val="left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1" w:type="dxa"/>
            <w:tcBorders/>
            <w:shd w:fill="auto" w:val="clear"/>
          </w:tcPr>
          <w:p>
            <w:pPr>
              <w:pStyle w:val="Normal"/>
              <w:jc w:val="left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Просенюк Юлия Владимировна</w:t>
            </w:r>
          </w:p>
        </w:tc>
        <w:tc>
          <w:tcPr>
            <w:tcW w:w="3127" w:type="dxa"/>
            <w:tcBorders/>
            <w:shd w:fill="auto" w:val="clear"/>
          </w:tcPr>
          <w:p>
            <w:pPr>
              <w:pStyle w:val="Normal"/>
              <w:jc w:val="left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jc w:val="left"/>
              <w:rPr/>
            </w:pPr>
            <w:r>
              <w:rPr>
                <w:sz w:val="20"/>
                <w:szCs w:val="20"/>
                <w:lang w:val="en-US"/>
              </w:rPr>
              <w:t>Секретарь комиссии</w:t>
            </w:r>
          </w:p>
        </w:tc>
        <w:tc>
          <w:tcPr>
            <w:tcW w:w="3401" w:type="dxa"/>
            <w:tcBorders/>
            <w:shd w:fill="auto" w:val="clear"/>
          </w:tcPr>
          <w:p>
            <w:pPr>
              <w:pStyle w:val="Normal"/>
              <w:jc w:val="left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Воронина Анастасия Николаевна</w:t>
            </w:r>
          </w:p>
        </w:tc>
        <w:tc>
          <w:tcPr>
            <w:tcW w:w="3127" w:type="dxa"/>
            <w:tcBorders/>
            <w:shd w:fill="auto" w:val="clear"/>
          </w:tcPr>
          <w:p>
            <w:pPr>
              <w:pStyle w:val="Normal"/>
              <w:jc w:val="left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</w:tbl>
    <w:p>
      <w:pPr>
        <w:pStyle w:val="Normal"/>
        <w:jc w:val="left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left"/>
        <w:rPr/>
      </w:pPr>
      <w:r>
        <w:rPr>
          <w:rFonts w:eastAsia="Times New Roman"/>
          <w:sz w:val="20"/>
          <w:szCs w:val="20"/>
        </w:rPr>
        <w:t>Заседание комиссии правомочно, кворум имеется.</w:t>
      </w:r>
    </w:p>
    <w:p>
      <w:pPr>
        <w:pStyle w:val="Normal"/>
        <w:jc w:val="left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left"/>
        <w:rPr/>
      </w:pPr>
      <w:r>
        <w:rPr>
          <w:rFonts w:eastAsia="Times New Roman"/>
          <w:sz w:val="20"/>
          <w:szCs w:val="20"/>
        </w:rPr>
        <w:t>Аукционной комиссией рассмотрены обе части единственной заявки на участие в аукционе, а также информация и электронные документы участника, предусмотренные частью 11 статьи 24.1 Федерального закона №44-ФЗ.</w:t>
      </w:r>
    </w:p>
    <w:p>
      <w:pPr>
        <w:pStyle w:val="Normal"/>
        <w:jc w:val="left"/>
        <w:rPr>
          <w:rFonts w:eastAsia="Times New Roman"/>
        </w:rPr>
      </w:pPr>
      <w:r>
        <w:rPr>
          <w:rFonts w:eastAsia="Times New Roman"/>
        </w:rPr>
      </w:r>
    </w:p>
    <w:p>
      <w:pPr>
        <w:pStyle w:val="Normal"/>
        <w:jc w:val="left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25" w:type="dxa"/>
        <w:jc w:val="left"/>
        <w:tblInd w:w="0" w:type="dxa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2145"/>
        <w:gridCol w:w="2891"/>
        <w:gridCol w:w="2959"/>
        <w:gridCol w:w="1929"/>
      </w:tblGrid>
      <w:tr>
        <w:trPr/>
        <w:tc>
          <w:tcPr>
            <w:tcW w:w="9924" w:type="dxa"/>
            <w:gridSpan w:val="4"/>
            <w:tcBorders/>
            <w:shd w:fill="auto" w:val="clear"/>
          </w:tcPr>
          <w:p>
            <w:pPr>
              <w:pStyle w:val="Normal"/>
              <w:ind w:left="-45" w:hanging="0"/>
              <w:jc w:val="left"/>
              <w:rPr/>
            </w:pPr>
            <w:r>
              <w:rPr>
                <w:rFonts w:eastAsia="Times New Roman"/>
                <w:sz w:val="20"/>
                <w:szCs w:val="20"/>
              </w:rPr>
              <w:t>Сведения о решении аукционной комиссии:</w:t>
            </w:r>
          </w:p>
        </w:tc>
      </w:tr>
      <w:tr>
        <w:trPr/>
        <w:tc>
          <w:tcPr>
            <w:tcW w:w="214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/>
              <w:bidi w:val="0"/>
              <w:spacing w:before="0" w:after="0"/>
              <w:ind w:left="0" w:right="0" w:hanging="0"/>
              <w:jc w:val="left"/>
              <w:rPr/>
            </w:pPr>
            <w:r>
              <w:rPr>
                <w:rFonts w:eastAsia="Times New Roman"/>
                <w:sz w:val="20"/>
                <w:szCs w:val="20"/>
              </w:rPr>
              <w:t>Идентификационный номер / Наименование / ИНН участника аукциона</w:t>
            </w:r>
          </w:p>
        </w:tc>
        <w:tc>
          <w:tcPr>
            <w:tcW w:w="289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/>
              <w:overflowPunct w:val="false"/>
              <w:bidi w:val="0"/>
              <w:spacing w:before="0" w:after="0"/>
              <w:ind w:left="0" w:right="0" w:hanging="0"/>
              <w:jc w:val="left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>Решение о соответствии или о несоответствии заявки требованиям документации</w:t>
            </w:r>
          </w:p>
        </w:tc>
        <w:tc>
          <w:tcPr>
            <w:tcW w:w="295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/>
              <w:bidi w:val="0"/>
              <w:spacing w:before="0" w:after="0"/>
              <w:ind w:left="0" w:right="0" w:hanging="0"/>
              <w:jc w:val="left"/>
              <w:rPr/>
            </w:pPr>
            <w:r>
              <w:rPr>
                <w:rFonts w:eastAsia="Times New Roman"/>
                <w:sz w:val="20"/>
                <w:szCs w:val="20"/>
              </w:rPr>
              <w:t>Ф.И.О. члена аукционной комиссии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/>
              <w:bidi w:val="0"/>
              <w:spacing w:before="0" w:after="0"/>
              <w:ind w:left="0" w:right="0" w:hanging="0"/>
              <w:jc w:val="left"/>
              <w:rPr/>
            </w:pPr>
            <w:r>
              <w:rPr>
                <w:rFonts w:eastAsia="Times New Roman"/>
                <w:sz w:val="20"/>
                <w:szCs w:val="20"/>
              </w:rPr>
              <w:t>Решение  члена комиссии</w:t>
            </w:r>
          </w:p>
        </w:tc>
      </w:tr>
      <w:tr>
        <w:trPr/>
        <w:tc>
          <w:tcPr>
            <w:tcW w:w="2145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jc w:val="left"/>
              <w:rPr/>
            </w:pPr>
            <w:r>
              <w:rPr>
                <w:sz w:val="20"/>
                <w:szCs w:val="20"/>
                <w:lang w:val="en-US"/>
              </w:rPr>
              <w:t>EA-75462</w:t>
            </w:r>
          </w:p>
          <w:p>
            <w:pPr>
              <w:pStyle w:val="Normal"/>
              <w:jc w:val="left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"СПЕЦСНАБМАРКЕТ" / 5254486665</w:t>
            </w:r>
          </w:p>
        </w:tc>
        <w:tc>
          <w:tcPr>
            <w:tcW w:w="289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Style23"/>
              <w:jc w:val="left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jc w:val="left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jc w:val="left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95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jc w:val="left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Резниченко Галина Ивановна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jc w:val="left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145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jc w:val="left"/>
              <w:rPr/>
            </w:pPr>
            <w:r>
              <w:rPr>
                <w:sz w:val="20"/>
                <w:szCs w:val="20"/>
                <w:lang w:val="en-US"/>
              </w:rPr>
              <w:t>EA-75462</w:t>
            </w:r>
          </w:p>
          <w:p>
            <w:pPr>
              <w:pStyle w:val="Normal"/>
              <w:jc w:val="left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"СПЕЦСНАБМАРКЕТ" / 5254486665</w:t>
            </w:r>
          </w:p>
        </w:tc>
        <w:tc>
          <w:tcPr>
            <w:tcW w:w="289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Style23"/>
              <w:jc w:val="left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jc w:val="left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jc w:val="left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95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jc w:val="left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Меркель Светлана Леоновна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jc w:val="left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145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jc w:val="left"/>
              <w:rPr/>
            </w:pPr>
            <w:r>
              <w:rPr>
                <w:sz w:val="20"/>
                <w:szCs w:val="20"/>
                <w:lang w:val="en-US"/>
              </w:rPr>
              <w:t>EA-75462</w:t>
            </w:r>
          </w:p>
          <w:p>
            <w:pPr>
              <w:pStyle w:val="Normal"/>
              <w:jc w:val="left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"СПЕЦСНАБМАРКЕТ" / 5254486665</w:t>
            </w:r>
          </w:p>
        </w:tc>
        <w:tc>
          <w:tcPr>
            <w:tcW w:w="289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Style23"/>
              <w:jc w:val="left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jc w:val="left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jc w:val="left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95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jc w:val="left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Тимошенко Ирина Сергеевна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jc w:val="left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145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jc w:val="left"/>
              <w:rPr/>
            </w:pPr>
            <w:r>
              <w:rPr>
                <w:sz w:val="20"/>
                <w:szCs w:val="20"/>
                <w:lang w:val="en-US"/>
              </w:rPr>
              <w:t>EA-75462</w:t>
            </w:r>
          </w:p>
          <w:p>
            <w:pPr>
              <w:pStyle w:val="Normal"/>
              <w:jc w:val="left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"СПЕЦСНАБМАРКЕТ" / 5254486665</w:t>
            </w:r>
          </w:p>
        </w:tc>
        <w:tc>
          <w:tcPr>
            <w:tcW w:w="289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Style23"/>
              <w:jc w:val="left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jc w:val="left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jc w:val="left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95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jc w:val="left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Просенюк Юлия Владимировна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jc w:val="left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145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jc w:val="left"/>
              <w:rPr/>
            </w:pPr>
            <w:r>
              <w:rPr>
                <w:sz w:val="20"/>
                <w:szCs w:val="20"/>
                <w:lang w:val="en-US"/>
              </w:rPr>
              <w:t>EA-75462</w:t>
            </w:r>
          </w:p>
          <w:p>
            <w:pPr>
              <w:pStyle w:val="Normal"/>
              <w:jc w:val="left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"СПЕЦСНАБМАРКЕТ" / 5254486665</w:t>
            </w:r>
          </w:p>
        </w:tc>
        <w:tc>
          <w:tcPr>
            <w:tcW w:w="289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Style23"/>
              <w:jc w:val="left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jc w:val="left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jc w:val="left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95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jc w:val="left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Воронина Анастасия Николаевна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jc w:val="left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</w:tbl>
    <w:p>
      <w:pPr>
        <w:pStyle w:val="Normal"/>
        <w:spacing w:lineRule="auto" w:line="240" w:before="0" w:after="0"/>
        <w:ind w:left="0" w:right="0" w:firstLine="567"/>
        <w:jc w:val="left"/>
        <w:rPr>
          <w:rFonts w:cs="Times New Roman"/>
        </w:rPr>
      </w:pPr>
      <w:r>
        <w:rPr>
          <w:rFonts w:cs="Times New Roman"/>
        </w:rPr>
      </w:r>
    </w:p>
    <w:p>
      <w:pPr>
        <w:pStyle w:val="Normal"/>
        <w:spacing w:lineRule="auto" w:line="240" w:before="0" w:after="0"/>
        <w:ind w:left="0" w:right="0" w:firstLine="567"/>
        <w:jc w:val="left"/>
        <w:rPr>
          <w:rFonts w:ascii="Times New Roman" w:hAnsi="Times New Roman"/>
          <w:sz w:val="20"/>
          <w:szCs w:val="20"/>
        </w:rPr>
      </w:pPr>
      <w:r>
        <w:rPr>
          <w:rFonts w:cs="Times New Roman"/>
          <w:sz w:val="20"/>
          <w:szCs w:val="20"/>
        </w:rPr>
        <w:t>Среди предложений участников закупки, признанных участниками закупки, не имеются предложения о поставке товаров, происходящих из иностранного государства или группы иностранных государств</w:t>
      </w:r>
      <w:r>
        <w:rPr>
          <w:rFonts w:cs="Arial"/>
          <w:sz w:val="20"/>
          <w:szCs w:val="20"/>
        </w:rPr>
        <w:t xml:space="preserve"> </w:t>
      </w:r>
      <w:r>
        <w:rPr>
          <w:sz w:val="20"/>
          <w:szCs w:val="20"/>
        </w:rPr>
        <w:br/>
      </w:r>
    </w:p>
    <w:tbl>
      <w:tblPr>
        <w:tblW w:w="10250" w:type="dxa"/>
        <w:jc w:val="left"/>
        <w:tblInd w:w="-25" w:type="dxa"/>
        <w:tblCellMar>
          <w:top w:w="55" w:type="dxa"/>
          <w:left w:w="55" w:type="dxa"/>
          <w:bottom w:w="55" w:type="dxa"/>
          <w:right w:w="55" w:type="dxa"/>
        </w:tblCellMar>
      </w:tblPr>
      <w:tblGrid>
        <w:gridCol w:w="2450"/>
        <w:gridCol w:w="7799"/>
      </w:tblGrid>
      <w:tr>
        <w:trPr/>
        <w:tc>
          <w:tcPr>
            <w:tcW w:w="24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D1eee4e5f0e6e8eceee5f2e0e1ebe8f6fb"/>
              <w:tabs>
                <w:tab w:val="clear" w:pos="708"/>
              </w:tabs>
              <w:bidi w:val="0"/>
              <w:ind w:left="0" w:right="0" w:hanging="0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eastAsia="Times New Roman" w:cs="Times New Roman"/>
                <w:color w:val="000000"/>
                <w:sz w:val="20"/>
                <w:szCs w:val="20"/>
              </w:rPr>
              <w:t xml:space="preserve">Идентификационный номер заявки </w:t>
            </w:r>
          </w:p>
        </w:tc>
        <w:tc>
          <w:tcPr>
            <w:tcW w:w="77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D1eee4e5f0e6e8eceee5f2e0e1ebe8f6fb"/>
              <w:tabs>
                <w:tab w:val="clear" w:pos="708"/>
              </w:tabs>
              <w:bidi w:val="0"/>
              <w:ind w:left="0" w:right="0" w:hanging="0"/>
              <w:jc w:val="both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eastAsia="Times New Roman" w:cs="Times New Roman"/>
                <w:color w:val="000000"/>
                <w:sz w:val="20"/>
                <w:szCs w:val="20"/>
              </w:rPr>
              <w:t>Информация о наличии среди предложений участников закупки, признанных участниками электронного аукциона, предложений о поставке товаров, происходящих из иностранного государства или группы иностранных государств, работ, услуг, соответственно выполняемых, оказываемых иностранными лицами , в случае , если условия, запреты, ограничения допуска товаров, работ, услуг установлены заказчиком в аукционной документации в соответствии со ст.14 Федерального закона «О контрактной системе в сфере закупок, товаров, работ , услуг для обеспечения государственных и муниципальных нужд»:</w:t>
            </w:r>
          </w:p>
        </w:tc>
      </w:tr>
      <w:tr>
        <w:trPr/>
        <w:tc>
          <w:tcPr>
            <w:tcW w:w="2450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D1eee4e5f0e6e8eceee5f2e0e1ebe8f6fb"/>
              <w:tabs>
                <w:tab w:val="clear" w:pos="708"/>
              </w:tabs>
              <w:bidi w:val="0"/>
              <w:ind w:left="0" w:right="0" w:hanging="0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eastAsia="Times New Roman" w:cs="Times New Roman"/>
                <w:sz w:val="20"/>
                <w:szCs w:val="20"/>
              </w:rPr>
              <w:t>1</w:t>
            </w:r>
          </w:p>
        </w:tc>
        <w:tc>
          <w:tcPr>
            <w:tcW w:w="779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D1eee4e5f0e6e8eceee5f2e0e1ebe8f6fb"/>
              <w:tabs>
                <w:tab w:val="clear" w:pos="708"/>
              </w:tabs>
              <w:bidi w:val="0"/>
              <w:ind w:left="0" w:right="0" w:hanging="0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eastAsia="Times New Roman" w:cs="Times New Roman"/>
                <w:color w:val="000000"/>
                <w:sz w:val="20"/>
                <w:szCs w:val="20"/>
              </w:rPr>
              <w:t xml:space="preserve">Не содержит </w:t>
            </w:r>
          </w:p>
        </w:tc>
      </w:tr>
    </w:tbl>
    <w:p>
      <w:pPr>
        <w:pStyle w:val="Normal"/>
        <w:spacing w:lineRule="auto" w:line="240" w:before="0" w:after="0"/>
        <w:ind w:left="0" w:right="0" w:firstLine="567"/>
        <w:jc w:val="left"/>
        <w:rPr>
          <w:rFonts w:ascii="Times New Roman" w:hAnsi="Times New Roman"/>
          <w:sz w:val="20"/>
          <w:szCs w:val="20"/>
          <w:lang w:val="en-US"/>
        </w:rPr>
      </w:pPr>
      <w:r>
        <w:rPr>
          <w:sz w:val="20"/>
          <w:szCs w:val="20"/>
          <w:lang w:val="en-US"/>
        </w:rPr>
      </w:r>
    </w:p>
    <w:p>
      <w:pPr>
        <w:pStyle w:val="Normal"/>
        <w:jc w:val="left"/>
        <w:rPr/>
      </w:pPr>
      <w:bookmarkStart w:id="0" w:name="__DdeLink__136_4014115248"/>
      <w:bookmarkEnd w:id="0"/>
      <w:r>
        <w:rPr>
          <w:rFonts w:eastAsia="Times New Roman"/>
          <w:sz w:val="20"/>
          <w:szCs w:val="20"/>
          <w:lang w:val="en-US"/>
        </w:rPr>
        <w:t>На основании рассмотрения единственной заявки на участие в электронном аукционе, а также в соответствии с ч. 1 ст. 71 Федерального закона от 05.04.2013 №44-ФЗ «О контрактной системе в сфере закупок товаров, работ, услуг для обеспечения государственных и муниципальных нужд» контракт заключается с единственным участником ОБЩЕСТВО С ОГРАНИЧЕННОЙ ОТВЕТСТВЕННОСТЬЮ "СПЕЦСНАБМАРКЕТ".</w:t>
      </w:r>
    </w:p>
    <w:p>
      <w:pPr>
        <w:pStyle w:val="Normal"/>
        <w:jc w:val="left"/>
        <w:rPr>
          <w:sz w:val="20"/>
          <w:szCs w:val="20"/>
        </w:rPr>
      </w:pPr>
      <w:r>
        <w:rPr>
          <w:sz w:val="20"/>
          <w:szCs w:val="20"/>
        </w:rPr>
      </w:r>
    </w:p>
    <w:p>
      <w:pPr>
        <w:pStyle w:val="Normal"/>
        <w:jc w:val="left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>Электронный аукцион признан не состоявшимся в соответствии с частью 16 статьи 66 Федерального закона от 05.04.2013 № 44-ФЗ «О контрактной системе в сфере закупок товаров, работ, услуг для обеспечения государственных и муниципальных нужд». Причина признания электронного аукциона не состоявшимся: по окончании срока подачи заявок на участие в электронном аукционе оператором электронной площадки зарегистрирована только одна заявка.</w:t>
      </w:r>
    </w:p>
    <w:p>
      <w:pPr>
        <w:pStyle w:val="Normal"/>
        <w:jc w:val="left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left"/>
        <w:rPr/>
      </w:pPr>
      <w:r>
        <w:rPr>
          <w:rFonts w:eastAsia="Times New Roman"/>
          <w:sz w:val="20"/>
          <w:szCs w:val="20"/>
          <w:lang w:val="en-US"/>
        </w:rPr>
        <w:t xml:space="preserve">Настоящий </w:t>
      </w:r>
      <w:r>
        <w:rPr>
          <w:rFonts w:eastAsia="Times New Roman"/>
          <w:sz w:val="20"/>
          <w:szCs w:val="20"/>
        </w:rPr>
        <w:t>протокол подлежит размещению в единой информационной системе в сфере закупок в порядке и в сроки, установленные Федеральным законом от 05.04.2013 №44-ФЗ «О контрактной системе в сфере закупок товаров, работ, услуг для обеспечения государственных и муниципальных нужд».</w:t>
      </w:r>
    </w:p>
    <w:p>
      <w:pPr>
        <w:pStyle w:val="Normal"/>
        <w:spacing w:lineRule="auto" w:line="240" w:before="0" w:after="0"/>
        <w:ind w:left="0" w:right="0" w:firstLine="567"/>
        <w:jc w:val="left"/>
        <w:rPr>
          <w:rFonts w:eastAsia="Times New Roman"/>
          <w:sz w:val="20"/>
          <w:szCs w:val="20"/>
        </w:rPr>
      </w:pPr>
      <w:r>
        <w:rPr>
          <w:rFonts w:eastAsia="Times New Roman" w:cs="Times New Roman"/>
          <w:sz w:val="20"/>
          <w:szCs w:val="20"/>
        </w:rPr>
        <w:t xml:space="preserve">Протокол </w:t>
      </w:r>
      <w:r>
        <w:rPr>
          <w:rFonts w:eastAsia="Times New Roman" w:cs="Times New Roman"/>
          <w:b w:val="false"/>
          <w:bCs w:val="false"/>
          <w:sz w:val="20"/>
          <w:szCs w:val="20"/>
        </w:rPr>
        <w:t xml:space="preserve"> рассмотрения единственной заявки</w:t>
      </w:r>
      <w:r>
        <w:rPr>
          <w:rFonts w:eastAsia="Times New Roman" w:cs="Times New Roman"/>
          <w:b/>
          <w:sz w:val="20"/>
          <w:szCs w:val="20"/>
        </w:rPr>
        <w:t xml:space="preserve"> </w:t>
      </w:r>
      <w:r>
        <w:rPr>
          <w:rFonts w:eastAsia="Times New Roman" w:cs="Times New Roman"/>
          <w:sz w:val="20"/>
          <w:szCs w:val="20"/>
        </w:rPr>
        <w:t>составлен в одном экземпляре, который хранится в ОКУ «Центр закупок Курской области», и подписан всеми присутствующими членами аукционной комиссии.</w:t>
      </w:r>
    </w:p>
    <w:p>
      <w:pPr>
        <w:pStyle w:val="Normal"/>
        <w:jc w:val="left"/>
        <w:rPr>
          <w:lang w:val="ru-RU"/>
        </w:rPr>
      </w:pPr>
      <w:r>
        <w:rPr>
          <w:lang w:val="ru-RU"/>
        </w:rPr>
      </w:r>
    </w:p>
    <w:p>
      <w:pPr>
        <w:pStyle w:val="Normal"/>
        <w:jc w:val="left"/>
        <w:rPr>
          <w:lang w:val="ru-RU"/>
        </w:rPr>
      </w:pPr>
      <w:r>
        <w:rPr>
          <w:rFonts w:eastAsia="Times New Roman"/>
          <w:sz w:val="20"/>
          <w:szCs w:val="20"/>
          <w:lang w:val="ru-RU"/>
        </w:rPr>
        <w:t>Подписи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22" w:type="dxa"/>
        <w:jc w:val="left"/>
        <w:tblInd w:w="0" w:type="dxa"/>
        <w:tblCellMar>
          <w:top w:w="55" w:type="dxa"/>
          <w:left w:w="55" w:type="dxa"/>
          <w:bottom w:w="55" w:type="dxa"/>
          <w:right w:w="55" w:type="dxa"/>
        </w:tblCellMar>
      </w:tblPr>
      <w:tblGrid>
        <w:gridCol w:w="3307"/>
        <w:gridCol w:w="3303"/>
        <w:gridCol w:w="3312"/>
      </w:tblGrid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Председатель комиссии</w:t>
            </w:r>
          </w:p>
        </w:tc>
        <w:tc>
          <w:tcPr>
            <w:tcW w:w="3303" w:type="dxa"/>
            <w:tcBorders/>
            <w:shd w:fill="auto" w:val="clear"/>
          </w:tcPr>
          <w:p>
            <w:pPr>
              <w:pStyle w:val="Style23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2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Резниченко Галина Ивановна</w:t>
            </w:r>
          </w:p>
        </w:tc>
      </w:tr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Зам. председателя комиссии</w:t>
            </w:r>
          </w:p>
        </w:tc>
        <w:tc>
          <w:tcPr>
            <w:tcW w:w="3303" w:type="dxa"/>
            <w:tcBorders/>
            <w:shd w:fill="auto" w:val="clear"/>
          </w:tcPr>
          <w:p>
            <w:pPr>
              <w:pStyle w:val="Style23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2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Меркель Светлана Леоновна</w:t>
            </w:r>
          </w:p>
        </w:tc>
      </w:tr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3" w:type="dxa"/>
            <w:tcBorders/>
            <w:shd w:fill="auto" w:val="clear"/>
          </w:tcPr>
          <w:p>
            <w:pPr>
              <w:pStyle w:val="Style23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2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Тимошенко Ирина Сергеевна</w:t>
            </w:r>
          </w:p>
        </w:tc>
      </w:tr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3" w:type="dxa"/>
            <w:tcBorders/>
            <w:shd w:fill="auto" w:val="clear"/>
          </w:tcPr>
          <w:p>
            <w:pPr>
              <w:pStyle w:val="Style23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2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Просенюк Юлия Владимировна</w:t>
            </w:r>
          </w:p>
        </w:tc>
      </w:tr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Секретарь комиссии</w:t>
            </w:r>
          </w:p>
        </w:tc>
        <w:tc>
          <w:tcPr>
            <w:tcW w:w="3303" w:type="dxa"/>
            <w:tcBorders/>
            <w:shd w:fill="auto" w:val="clear"/>
          </w:tcPr>
          <w:p>
            <w:pPr>
              <w:pStyle w:val="Style23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2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Воронина Анастасия Николаевна</w:t>
            </w:r>
          </w:p>
        </w:tc>
      </w:tr>
    </w:tbl>
    <w:sectPr>
      <w:type w:val="nextPage"/>
      <w:pgSz w:w="11906" w:h="16838"/>
      <w:pgMar w:left="1418" w:right="566" w:header="0" w:top="1134" w:footer="0" w:bottom="1134" w:gutter="0"/>
      <w:pgNumType w:fmt="decimal"/>
      <w:formProt w:val="false"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Times New Roman">
    <w:charset w:val="cc"/>
    <w:family w:val="roman"/>
    <w:pitch w:val="variable"/>
  </w:font>
  <w:font w:name="Segoe UI">
    <w:charset w:val="cc"/>
    <w:family w:val="roman"/>
    <w:pitch w:val="variable"/>
  </w:font>
  <w:font w:name="Liberation Sans">
    <w:altName w:val="Arial"/>
    <w:charset w:val="cc"/>
    <w:family w:val="roman"/>
    <w:pitch w:val="variable"/>
  </w:font>
</w:fonts>
</file>

<file path=word/settings.xml><?xml version="1.0" encoding="utf-8"?>
<w:settings xmlns:w="http://schemas.openxmlformats.org/wordprocessingml/2006/main">
  <w:zoom w:percent="100"/>
  <w:defaultTabStop w:val="708"/>
  <w:autoHyphenation w:val="true"/>
  <w:compat>
    <w:compatSetting w:name="compatibilityMode" w:uri="http://schemas.microsoft.com/office/word" w:val="12"/>
    <w:compatSetting w:name="useWord2013TrackBottomHyphenation" w:uri="http://schemas.microsoft.com/office/word" w:val="1"/>
  </w:compat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Times New Roman" w:hAnsi="Times New Roman" w:eastAsia="Times New Roman" w:cs="Times New Roman"/>
        <w:lang w:val="ru-RU" w:eastAsia="ru-RU" w:bidi="ar-SA"/>
      </w:rPr>
    </w:rPrDefault>
    <w:pPrDefault>
      <w:pPr>
        <w:suppressAutoHyphens w:val="true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styleId="Normal" w:default="1">
    <w:name w:val="Normal"/>
    <w:qFormat/>
    <w:pPr>
      <w:widowControl/>
      <w:suppressAutoHyphens w:val="true"/>
      <w:bidi w:val="0"/>
      <w:spacing w:before="0" w:after="0"/>
      <w:jc w:val="left"/>
    </w:pPr>
    <w:rPr>
      <w:rFonts w:ascii="Times New Roman" w:hAnsi="Times New Roman" w:eastAsia="" w:cs="Times New Roman" w:eastAsiaTheme="minorEastAsia"/>
      <w:color w:val="00000A"/>
      <w:kern w:val="0"/>
      <w:sz w:val="24"/>
      <w:szCs w:val="24"/>
      <w:lang w:val="ru-RU" w:eastAsia="ru-RU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Annotationreference">
    <w:name w:val="annotation reference"/>
    <w:basedOn w:val="DefaultParagraphFont"/>
    <w:uiPriority w:val="99"/>
    <w:semiHidden/>
    <w:unhideWhenUsed/>
    <w:qFormat/>
    <w:rsid w:val="00b171ee"/>
    <w:rPr>
      <w:sz w:val="16"/>
      <w:szCs w:val="16"/>
    </w:rPr>
  </w:style>
  <w:style w:type="character" w:styleId="Style14" w:customStyle="1">
    <w:name w:val="Текст примечания Знак"/>
    <w:basedOn w:val="DefaultParagraphFont"/>
    <w:uiPriority w:val="99"/>
    <w:semiHidden/>
    <w:qFormat/>
    <w:rsid w:val="00b171ee"/>
    <w:rPr>
      <w:rFonts w:eastAsia="" w:eastAsiaTheme="minorEastAsia"/>
    </w:rPr>
  </w:style>
  <w:style w:type="character" w:styleId="Style15" w:customStyle="1">
    <w:name w:val="Тема примечания Знак"/>
    <w:basedOn w:val="Style14"/>
    <w:uiPriority w:val="99"/>
    <w:semiHidden/>
    <w:qFormat/>
    <w:rsid w:val="00b171ee"/>
    <w:rPr>
      <w:rFonts w:eastAsia="" w:eastAsiaTheme="minorEastAsia"/>
      <w:b/>
      <w:bCs/>
    </w:rPr>
  </w:style>
  <w:style w:type="character" w:styleId="Style16" w:customStyle="1">
    <w:name w:val="Текст выноски Знак"/>
    <w:basedOn w:val="DefaultParagraphFont"/>
    <w:uiPriority w:val="99"/>
    <w:semiHidden/>
    <w:qFormat/>
    <w:rsid w:val="00b171ee"/>
    <w:rPr>
      <w:rFonts w:ascii="Segoe UI" w:hAnsi="Segoe UI" w:eastAsia="" w:cs="Segoe UI" w:eastAsiaTheme="minorEastAsia"/>
      <w:sz w:val="18"/>
      <w:szCs w:val="18"/>
    </w:rPr>
  </w:style>
  <w:style w:type="paragraph" w:styleId="Style17">
    <w:name w:val="Заголовок"/>
    <w:basedOn w:val="Normal"/>
    <w:next w:val="Style18"/>
    <w:qFormat/>
    <w:pPr>
      <w:keepNext w:val="true"/>
      <w:spacing w:before="240" w:after="120"/>
    </w:pPr>
    <w:rPr>
      <w:rFonts w:ascii="Liberation Sans" w:hAnsi="Liberation Sans" w:eastAsia="Microsoft YaHei" w:cs="Lucida Sans"/>
      <w:sz w:val="28"/>
      <w:szCs w:val="28"/>
    </w:rPr>
  </w:style>
  <w:style w:type="paragraph" w:styleId="Style18">
    <w:name w:val="Body Text"/>
    <w:basedOn w:val="Normal"/>
    <w:pPr>
      <w:spacing w:lineRule="auto" w:line="288" w:before="0" w:after="140"/>
    </w:pPr>
    <w:rPr/>
  </w:style>
  <w:style w:type="paragraph" w:styleId="Style19">
    <w:name w:val="List"/>
    <w:basedOn w:val="Style18"/>
    <w:pPr/>
    <w:rPr>
      <w:rFonts w:cs="Noto Sans Devanagari"/>
    </w:rPr>
  </w:style>
  <w:style w:type="paragraph" w:styleId="Style20">
    <w:name w:val="Caption"/>
    <w:basedOn w:val="Normal"/>
    <w:qFormat/>
    <w:pPr>
      <w:suppressLineNumbers/>
      <w:spacing w:before="120" w:after="120"/>
    </w:pPr>
    <w:rPr>
      <w:rFonts w:cs="Lucida Sans"/>
      <w:i/>
      <w:iCs/>
      <w:sz w:val="24"/>
      <w:szCs w:val="24"/>
    </w:rPr>
  </w:style>
  <w:style w:type="paragraph" w:styleId="Style21">
    <w:name w:val="Указатель"/>
    <w:basedOn w:val="Normal"/>
    <w:qFormat/>
    <w:pPr>
      <w:suppressLineNumbers/>
    </w:pPr>
    <w:rPr>
      <w:rFonts w:cs="Lucida Sans"/>
    </w:rPr>
  </w:style>
  <w:style w:type="paragraph" w:styleId="Style22">
    <w:name w:val="Title"/>
    <w:basedOn w:val="Normal"/>
    <w:qFormat/>
    <w:pPr>
      <w:keepNext w:val="true"/>
      <w:spacing w:before="240" w:after="120"/>
    </w:pPr>
    <w:rPr>
      <w:rFonts w:ascii="Liberation Sans" w:hAnsi="Liberation Sans" w:eastAsia="Noto Sans CJK SC Regular" w:cs="Noto Sans Devanagari"/>
      <w:sz w:val="28"/>
      <w:szCs w:val="28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</w:rPr>
  </w:style>
  <w:style w:type="paragraph" w:styleId="Indexheading">
    <w:name w:val="index heading"/>
    <w:basedOn w:val="Normal"/>
    <w:qFormat/>
    <w:pPr>
      <w:suppressLineNumbers/>
    </w:pPr>
    <w:rPr>
      <w:rFonts w:cs="Noto Sans Devanagari"/>
    </w:rPr>
  </w:style>
  <w:style w:type="paragraph" w:styleId="Dt" w:customStyle="1">
    <w:name w:val="dt"/>
    <w:basedOn w:val="Normal"/>
    <w:qFormat/>
    <w:pPr>
      <w:spacing w:beforeAutospacing="1" w:afterAutospacing="1"/>
    </w:pPr>
    <w:rPr/>
  </w:style>
  <w:style w:type="paragraph" w:styleId="Th" w:customStyle="1">
    <w:name w:val="th"/>
    <w:basedOn w:val="Normal"/>
    <w:qFormat/>
    <w:pPr>
      <w:shd w:val="clear" w:color="auto" w:fill="EEEEEE"/>
      <w:spacing w:beforeAutospacing="1" w:afterAutospacing="1"/>
    </w:pPr>
    <w:rPr/>
  </w:style>
  <w:style w:type="paragraph" w:styleId="Fr" w:customStyle="1">
    <w:name w:val="fr"/>
    <w:basedOn w:val="Normal"/>
    <w:qFormat/>
    <w:pPr>
      <w:spacing w:beforeAutospacing="1" w:afterAutospacing="1"/>
    </w:pPr>
    <w:rPr/>
  </w:style>
  <w:style w:type="paragraph" w:styleId="Headingcenter1" w:customStyle="1">
    <w:name w:val="headingcenter1"/>
    <w:basedOn w:val="Normal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styleId="Usual1" w:customStyle="1">
    <w:name w:val="usual1"/>
    <w:basedOn w:val="Normal"/>
    <w:qFormat/>
    <w:pPr>
      <w:spacing w:beforeAutospacing="1" w:after="200"/>
    </w:pPr>
    <w:rPr/>
  </w:style>
  <w:style w:type="paragraph" w:styleId="Usual2" w:customStyle="1">
    <w:name w:val="usual2"/>
    <w:basedOn w:val="Normal"/>
    <w:qFormat/>
    <w:pPr>
      <w:spacing w:beforeAutospacing="1" w:after="200"/>
      <w:ind w:left="460" w:hanging="0"/>
    </w:pPr>
    <w:rPr/>
  </w:style>
  <w:style w:type="paragraph" w:styleId="Margleft1" w:customStyle="1">
    <w:name w:val="margleft1"/>
    <w:basedOn w:val="Normal"/>
    <w:qFormat/>
    <w:pPr>
      <w:spacing w:beforeAutospacing="1" w:afterAutospacing="1"/>
    </w:pPr>
    <w:rPr/>
  </w:style>
  <w:style w:type="paragraph" w:styleId="Commissiontable" w:customStyle="1">
    <w:name w:val="commissiontable"/>
    <w:basedOn w:val="Normal"/>
    <w:qFormat/>
    <w:pPr>
      <w:spacing w:beforeAutospacing="1" w:afterAutospacing="1"/>
    </w:pPr>
    <w:rPr/>
  </w:style>
  <w:style w:type="paragraph" w:styleId="Requests" w:customStyle="1">
    <w:name w:val="requests"/>
    <w:basedOn w:val="Normal"/>
    <w:qFormat/>
    <w:pPr>
      <w:spacing w:beforeAutospacing="1" w:afterAutospacing="1"/>
      <w:ind w:left="460" w:hanging="0"/>
    </w:pPr>
    <w:rPr/>
  </w:style>
  <w:style w:type="paragraph" w:styleId="Margtab1" w:customStyle="1">
    <w:name w:val="margtab1"/>
    <w:basedOn w:val="Normal"/>
    <w:qFormat/>
    <w:pPr>
      <w:spacing w:beforeAutospacing="1" w:afterAutospacing="1"/>
      <w:ind w:left="460" w:hanging="0"/>
    </w:pPr>
    <w:rPr/>
  </w:style>
  <w:style w:type="paragraph" w:styleId="Annotationtext">
    <w:name w:val="annotation text"/>
    <w:basedOn w:val="Normal"/>
    <w:uiPriority w:val="99"/>
    <w:semiHidden/>
    <w:unhideWhenUsed/>
    <w:qFormat/>
    <w:rsid w:val="00b171ee"/>
    <w:pPr/>
    <w:rPr>
      <w:sz w:val="20"/>
      <w:szCs w:val="20"/>
    </w:rPr>
  </w:style>
  <w:style w:type="paragraph" w:styleId="Annotationsubject">
    <w:name w:val="annotation subject"/>
    <w:basedOn w:val="Annotationtext"/>
    <w:uiPriority w:val="99"/>
    <w:semiHidden/>
    <w:unhideWhenUsed/>
    <w:qFormat/>
    <w:rsid w:val="00b171ee"/>
    <w:pPr/>
    <w:rPr>
      <w:b/>
      <w:bCs/>
    </w:rPr>
  </w:style>
  <w:style w:type="paragraph" w:styleId="BalloonText">
    <w:name w:val="Balloon Text"/>
    <w:basedOn w:val="Normal"/>
    <w:uiPriority w:val="99"/>
    <w:semiHidden/>
    <w:unhideWhenUsed/>
    <w:qFormat/>
    <w:rsid w:val="00b171ee"/>
    <w:pPr/>
    <w:rPr>
      <w:rFonts w:ascii="Segoe UI" w:hAnsi="Segoe UI" w:cs="Segoe UI"/>
      <w:sz w:val="18"/>
      <w:szCs w:val="18"/>
    </w:rPr>
  </w:style>
  <w:style w:type="paragraph" w:styleId="NormalWeb">
    <w:name w:val="Normal (Web)"/>
    <w:basedOn w:val="Normal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styleId="Style23" w:customStyle="1">
    <w:name w:val="Содержимое таблицы"/>
    <w:basedOn w:val="Normal"/>
    <w:qFormat/>
    <w:pPr/>
    <w:rPr/>
  </w:style>
  <w:style w:type="paragraph" w:styleId="Style24" w:customStyle="1">
    <w:name w:val="Заголовок таблицы"/>
    <w:basedOn w:val="Style23"/>
    <w:qFormat/>
    <w:pPr/>
    <w:rPr/>
  </w:style>
  <w:style w:type="paragraph" w:styleId="DocumentMap" w:customStyle="1">
    <w:name w:val="Document Map"/>
    <w:qFormat/>
    <w:pPr>
      <w:widowControl/>
      <w:suppressAutoHyphens w:val="true"/>
      <w:bidi w:val="0"/>
      <w:spacing w:before="0" w:after="0"/>
      <w:jc w:val="left"/>
    </w:pPr>
    <w:rPr>
      <w:rFonts w:ascii="Times New Roman" w:hAnsi="Times New Roman" w:eastAsia="Calibri" w:cs="Times New Roman"/>
      <w:color w:val="00000A"/>
      <w:kern w:val="0"/>
      <w:sz w:val="24"/>
      <w:szCs w:val="20"/>
      <w:lang w:val="ru-RU" w:eastAsia="ru-RU" w:bidi="ar-SA"/>
    </w:rPr>
  </w:style>
  <w:style w:type="paragraph" w:styleId="D1eee4e5f0e6e8eceee5f2e0e1ebe8f6fb">
    <w:name w:val="Сd1оeeдe4еe5рf0жe6иe8мecоeeеe5 тf2аe0бe1лebиe8цf6ыfb"/>
    <w:basedOn w:val="Normal"/>
    <w:qFormat/>
    <w:pPr/>
    <w:rPr>
      <w:lang w:eastAsia="ar-SA"/>
    </w:rPr>
  </w:style>
  <w:style w:type="numbering" w:styleId="NoList" w:default="1">
    <w:name w:val="No List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settings" Target="settings.xml"/><Relationship Id="rId4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782</TotalTime>
  <Application>LibreOffice/6.4.3.2$Windows_x86 LibreOffice_project/747b5d0ebf89f41c860ec2a39efd7cb15b54f2d8</Application>
  <Pages>2</Pages>
  <Words>532</Words>
  <Characters>4056</Characters>
  <CharactersWithSpaces>4514</CharactersWithSpaces>
  <Paragraphs>84</Paragraphs>
  <Company>Hewlett-Packard Company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2018-07-02T14:52:00Z</dcterms:created>
  <dc:creator>Ларий Дарья Григорьевна</dc:creator>
  <dc:description/>
  <dc:language>ru-RU</dc:language>
  <cp:lastModifiedBy/>
  <dcterms:modified xsi:type="dcterms:W3CDTF">2021-03-02T16:35:58Z</dcterms:modified>
  <cp:revision>111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0</vt:bool>
  </property>
  <property fmtid="{D5CDD505-2E9C-101B-9397-08002B2CF9AE}" pid="6" name="LinksUpToDate">
    <vt:bool>0</vt:bool>
  </property>
  <property fmtid="{D5CDD505-2E9C-101B-9397-08002B2CF9AE}" pid="7" name="ScaleCrop">
    <vt:bool>0</vt:bool>
  </property>
  <property fmtid="{D5CDD505-2E9C-101B-9397-08002B2CF9AE}" pid="8" name="ShareDoc">
    <vt:bool>0</vt:bool>
  </property>
</Properties>
</file>