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sz w:val="20"/>
          <w:szCs w:val="20"/>
        </w:rPr>
        <w:t>№ 03.1-4/</w:t>
      </w:r>
      <w:r>
        <w:rPr>
          <w:rFonts w:eastAsia="Times New Roman" w:cs="Times New Roman"/>
          <w:b/>
          <w:bCs/>
          <w:sz w:val="20"/>
          <w:szCs w:val="20"/>
        </w:rPr>
        <w:t>843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bidi w:val="0"/>
        <w:spacing w:lineRule="atLeast" w:line="0" w:before="0" w:after="0"/>
        <w:ind w:left="0" w:right="0" w:firstLine="567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ru-RU" w:eastAsia="zh-CN" w:bidi="ar-SA"/>
        </w:rPr>
        <w:t>23998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0744200000221000986)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”.03.21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лабораторных исследований (диски с антибиотиками)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212463002376646320100100480030000244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21 605,60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11 009,00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11 117,97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13 938,97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"ЭКОЛАБ-ДИАГНОСТИКА", предложивший цену контракта 11 009,00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ОБЪЕДИНЕНИЕ "ЭКОЛАБ-ДИАГНОСТИКА",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647</Words>
  <Characters>5479</Characters>
  <CharactersWithSpaces>5957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2021-03-10T15:39:13Z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