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Протокол рассмотрения единственной заявки на участие в электронном аукционе 03.1-4/</w:t>
      </w:r>
      <w:r>
        <w:rPr>
          <w:rFonts w:eastAsia="Times New Roman"/>
          <w:b/>
          <w:bCs/>
          <w:sz w:val="20"/>
          <w:szCs w:val="20"/>
        </w:rPr>
        <w:t>927</w:t>
      </w:r>
    </w:p>
    <w:p>
      <w:pPr>
        <w:pStyle w:val="Normal"/>
        <w:ind w:firstLine="567"/>
        <w:jc w:val="center"/>
        <w:rPr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"Поставка лекарственного препарата для медицинского применения - Пипекурония бромид" </w:t>
      </w:r>
    </w:p>
    <w:p>
      <w:pPr>
        <w:pStyle w:val="Normal"/>
        <w:ind w:firstLine="567"/>
        <w:jc w:val="center"/>
        <w:rPr>
          <w:rFonts w:eastAsia="Times New Roman"/>
          <w:b/>
          <w:b/>
          <w:bCs/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>
        <w:rPr>
          <w:rFonts w:eastAsia="Times New Roman"/>
          <w:b/>
          <w:bCs/>
          <w:sz w:val="20"/>
          <w:szCs w:val="20"/>
          <w:lang w:val="en-US"/>
        </w:rPr>
        <w:t xml:space="preserve"> 0744200000221001165) </w:t>
      </w:r>
    </w:p>
    <w:p>
      <w:pPr>
        <w:pStyle w:val="Normal"/>
        <w:ind w:firstLine="567"/>
        <w:jc w:val="center"/>
        <w:rPr>
          <w:sz w:val="20"/>
          <w:szCs w:val="20"/>
          <w:lang w:val="en-US"/>
        </w:rPr>
      </w:pPr>
      <w:r>
        <w:rPr>
          <w:sz w:val="20"/>
          <w:szCs w:val="20"/>
          <w:lang w:val="ru-RU"/>
        </w:rPr>
        <w:t>Регистрационной номе</w:t>
      </w:r>
      <w:r>
        <w:rPr>
          <w:b w:val="false"/>
          <w:bCs w:val="false"/>
          <w:sz w:val="20"/>
          <w:szCs w:val="20"/>
          <w:lang w:val="ru-RU"/>
        </w:rPr>
        <w:t xml:space="preserve">р </w:t>
      </w:r>
      <w:r>
        <w:rPr>
          <w:b w:val="false"/>
          <w:bCs w:val="false"/>
          <w:color w:val="000000"/>
          <w:sz w:val="20"/>
          <w:szCs w:val="20"/>
          <w:lang w:val="ru-RU"/>
        </w:rPr>
        <w:t>09-05/24194</w:t>
      </w:r>
    </w:p>
    <w:p>
      <w:pPr>
        <w:pStyle w:val="Normal"/>
        <w:ind w:firstLine="567"/>
        <w:jc w:val="right"/>
        <w:rPr>
          <w:lang w:val="en-US"/>
        </w:rPr>
      </w:pPr>
      <w:r>
        <w:rPr>
          <w:lang w:val="en-US"/>
        </w:rPr>
        <w:t xml:space="preserve">12 </w:t>
      </w:r>
      <w:r>
        <w:rPr>
          <w:lang w:val="ru-RU"/>
        </w:rPr>
        <w:t>марта 2021 г.</w:t>
      </w:r>
    </w:p>
    <w:p>
      <w:pPr>
        <w:pStyle w:val="Normal"/>
        <w:ind w:firstLine="567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widowControl/>
        <w:overflowPunct w:val="false"/>
        <w:bidi w:val="0"/>
        <w:ind w:left="0" w:right="0" w:hanging="0"/>
        <w:jc w:val="left"/>
        <w:rPr/>
      </w:pPr>
      <w:r>
        <w:rPr>
          <w:rFonts w:eastAsia="Times New Roman"/>
          <w:sz w:val="20"/>
          <w:szCs w:val="20"/>
          <w:lang w:val="ru-RU"/>
        </w:rPr>
        <w:t>Место публикации: Российская Федерация, 305029, Курская обл, Курск г, Красный Октябрь, д.21, ОФИС 3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Организатор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>
        <w:rPr>
          <w:rFonts w:eastAsia="Times New Roman"/>
          <w:sz w:val="20"/>
          <w:szCs w:val="20"/>
          <w:lang w:val="en-US"/>
        </w:rPr>
        <w:t>: ОБЛАСТНОЕ КАЗЕННОЕ УЧРЕЖДЕНИЕ "ЦЕНТР ЗАКУПОК КУРСКОЙ ОБЛАСТИ"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  <w:lang w:val="en-US"/>
        </w:rPr>
        <w:t>Заказчик: БЮДЖЕТНОЕ МЕДИЦИНСКОЕ УЧРЕЖДЕНИЕ "КУРСКАЯ ОБЛАСТНАЯ КЛИНИЧЕСКАЯ БОЛЬНИЦА" КОМИТЕТА ЗДРАВООХРАНЕНИЯ КУРСКОЙ ОБЛАСТИ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Наименование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>
        <w:rPr>
          <w:rFonts w:eastAsia="Times New Roman"/>
          <w:sz w:val="20"/>
          <w:szCs w:val="20"/>
          <w:lang w:val="en-US"/>
        </w:rPr>
        <w:t xml:space="preserve">: Поставка лекарственного препарата для медицинского применения - Пипекурония бромид 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ru-RU"/>
        </w:rPr>
        <w:t>Идентификационный код закупки: 212463000551046320100100480012120244</w:t>
      </w:r>
    </w:p>
    <w:p>
      <w:pPr>
        <w:pStyle w:val="Normal"/>
        <w:rPr>
          <w:lang w:val="ru-RU"/>
        </w:rPr>
      </w:pPr>
      <w:r>
        <w:rPr>
          <w:lang w:val="ru-RU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214 320,00 руб.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9927" w:type="dxa"/>
        <w:jc w:val="left"/>
        <w:tblInd w:w="1" w:type="dxa"/>
        <w:tblCellMar>
          <w:top w:w="15" w:type="dxa"/>
          <w:left w:w="15" w:type="dxa"/>
          <w:bottom w:w="15" w:type="dxa"/>
          <w:right w:w="15" w:type="dxa"/>
        </w:tblCellMar>
        <w:tblLook w:firstRow="1" w:noVBand="1" w:lastRow="0" w:firstColumn="1" w:lastColumn="0" w:noHBand="0" w:val="04a0"/>
      </w:tblPr>
      <w:tblGrid>
        <w:gridCol w:w="3399"/>
        <w:gridCol w:w="3401"/>
        <w:gridCol w:w="3127"/>
      </w:tblGrid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Резниченко Галина Ивановна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Тимошенко Ирина Сергеевна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Прибылов Сергей Александрович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Бартенева Татьяна Васильевна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Меркулова Нина Алексеевна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Холодова Кристина Валерьевна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Аукционной комиссией рассмотрены обе части единственной заявки на участие в аукционе, а также информация и электронные документы участника, предусмотренные частью 11 статьи 24.1 Федерального закона №44-ФЗ.</w:t>
      </w:r>
    </w:p>
    <w:p>
      <w:pPr>
        <w:pStyle w:val="Normal"/>
        <w:rPr>
          <w:rFonts w:eastAsia="Times New Roman"/>
        </w:rPr>
      </w:pPr>
      <w:r>
        <w:rPr>
          <w:rFonts w:eastAsia="Times New Roman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5" w:type="dxa"/>
        <w:jc w:val="left"/>
        <w:tblInd w:w="0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145"/>
        <w:gridCol w:w="2891"/>
        <w:gridCol w:w="2959"/>
        <w:gridCol w:w="1929"/>
      </w:tblGrid>
      <w:tr>
        <w:trPr/>
        <w:tc>
          <w:tcPr>
            <w:tcW w:w="9924" w:type="dxa"/>
            <w:gridSpan w:val="4"/>
            <w:tcBorders/>
            <w:shd w:fill="auto" w:val="clear"/>
          </w:tcPr>
          <w:p>
            <w:pPr>
              <w:pStyle w:val="Normal"/>
              <w:ind w:left="-45" w:hanging="0"/>
              <w:rPr/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>
        <w:trPr/>
        <w:tc>
          <w:tcPr>
            <w:tcW w:w="21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Идентификационный номер / Наименование / ИНН участника аукциона</w:t>
            </w:r>
          </w:p>
        </w:tc>
        <w:tc>
          <w:tcPr>
            <w:tcW w:w="289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/>
              <w:overflowPunct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295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Решение  члена комиссии</w:t>
            </w:r>
          </w:p>
        </w:tc>
      </w:tr>
      <w:tr>
        <w:trPr/>
        <w:tc>
          <w:tcPr>
            <w:tcW w:w="2145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EA-79725</w:t>
            </w:r>
          </w:p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"АЛЬБАТРОС" / 7724922443</w:t>
            </w:r>
          </w:p>
        </w:tc>
        <w:tc>
          <w:tcPr>
            <w:tcW w:w="289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Резниченко Галина Ивановна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5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EA-79725</w:t>
            </w:r>
          </w:p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"АЛЬБАТРОС" / 7724922443</w:t>
            </w:r>
          </w:p>
        </w:tc>
        <w:tc>
          <w:tcPr>
            <w:tcW w:w="289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Тимошенко Ирина Сергеевна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5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EA-79725</w:t>
            </w:r>
          </w:p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"АЛЬБАТРОС" / 7724922443</w:t>
            </w:r>
          </w:p>
        </w:tc>
        <w:tc>
          <w:tcPr>
            <w:tcW w:w="289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Прибылов Сергей Александрович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5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EA-79725</w:t>
            </w:r>
          </w:p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"АЛЬБАТРОС" / 7724922443</w:t>
            </w:r>
          </w:p>
        </w:tc>
        <w:tc>
          <w:tcPr>
            <w:tcW w:w="289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Бартенева Татьяна Васильевна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5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EA-79725</w:t>
            </w:r>
          </w:p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"АЛЬБАТРОС" / 7724922443</w:t>
            </w:r>
          </w:p>
        </w:tc>
        <w:tc>
          <w:tcPr>
            <w:tcW w:w="289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Меркулова Нина Алексеевна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5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EA-79725</w:t>
            </w:r>
          </w:p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"АЛЬБАТРОС" / 7724922443</w:t>
            </w:r>
          </w:p>
        </w:tc>
        <w:tc>
          <w:tcPr>
            <w:tcW w:w="289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Холодова Кристина Валерьевна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</w:tbl>
    <w:p>
      <w:pPr>
        <w:pStyle w:val="Normal"/>
        <w:rPr/>
      </w:pPr>
      <w:r>
        <w:rPr/>
      </w:r>
    </w:p>
    <w:tbl>
      <w:tblPr>
        <w:tblW w:w="10259" w:type="dxa"/>
        <w:jc w:val="left"/>
        <w:tblInd w:w="35" w:type="dxa"/>
        <w:tblCellMar>
          <w:top w:w="55" w:type="dxa"/>
          <w:left w:w="55" w:type="dxa"/>
          <w:bottom w:w="55" w:type="dxa"/>
          <w:right w:w="55" w:type="dxa"/>
        </w:tblCellMar>
      </w:tblPr>
      <w:tblGrid>
        <w:gridCol w:w="2456"/>
        <w:gridCol w:w="7802"/>
      </w:tblGrid>
      <w:tr>
        <w:trPr/>
        <w:tc>
          <w:tcPr>
            <w:tcW w:w="24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D1eee4e5f0e6e8eceee5f2e0e1ebe8f6fb"/>
              <w:tabs>
                <w:tab w:val="clear" w:pos="708"/>
              </w:tabs>
              <w:ind w:left="0" w:right="0" w:hanging="0"/>
              <w:jc w:val="center"/>
              <w:rPr>
                <w:sz w:val="20"/>
                <w:szCs w:val="20"/>
              </w:rPr>
            </w:pPr>
            <w:r>
              <w:rPr>
                <w:rFonts w:eastAsia="Times New Roman" w:cs="Times New Roman"/>
                <w:color w:val="000000"/>
                <w:sz w:val="20"/>
                <w:szCs w:val="20"/>
              </w:rPr>
              <w:t xml:space="preserve">Идентификационный номер заявки </w:t>
            </w:r>
          </w:p>
        </w:tc>
        <w:tc>
          <w:tcPr>
            <w:tcW w:w="78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D1eee4e5f0e6e8eceee5f2e0e1ebe8f6fb"/>
              <w:tabs>
                <w:tab w:val="clear" w:pos="708"/>
              </w:tabs>
              <w:ind w:left="0" w:right="0" w:hanging="0"/>
              <w:jc w:val="both"/>
              <w:rPr>
                <w:sz w:val="20"/>
                <w:szCs w:val="20"/>
              </w:rPr>
            </w:pPr>
            <w:r>
              <w:rPr>
                <w:rFonts w:eastAsia="Times New Roman" w:cs="Times New Roman"/>
                <w:color w:val="000000"/>
                <w:sz w:val="20"/>
                <w:szCs w:val="20"/>
              </w:rPr>
              <w:t>Информация о наличии среди предложений участников закупки, признанных участниками электронного аукциона, предложений о поставке товаров, происходящих из иностранного государства или группы иностранных государств, работ, услуг, соответственно выполняемых, оказываемых иностранными лицами , в случае , если условия, запреты, ограничения допуска товаров, работ, услуг установлены заказчиком в аукционной документации в соответствии со ст.14 Федерального закона «О контрактной системе в сфере закупок, товаров, работ , услуг для обеспечения государственных и муниципальных нужд»:</w:t>
            </w:r>
          </w:p>
        </w:tc>
      </w:tr>
      <w:tr>
        <w:trPr/>
        <w:tc>
          <w:tcPr>
            <w:tcW w:w="2456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8"/>
              </w:tabs>
              <w:ind w:left="0" w:right="0" w:hanging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EA-79725</w:t>
            </w:r>
          </w:p>
        </w:tc>
        <w:tc>
          <w:tcPr>
            <w:tcW w:w="780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D1eee4e5f0e6e8eceee5f2e0e1ebe8f6fb"/>
              <w:tabs>
                <w:tab w:val="clear" w:pos="708"/>
              </w:tabs>
              <w:ind w:left="0" w:right="0" w:hanging="0"/>
              <w:jc w:val="center"/>
              <w:rPr>
                <w:sz w:val="20"/>
                <w:szCs w:val="20"/>
              </w:rPr>
            </w:pPr>
            <w:r>
              <w:rPr>
                <w:rFonts w:eastAsia="Times New Roman" w:cs="Times New Roman"/>
                <w:color w:val="000000"/>
                <w:sz w:val="20"/>
                <w:szCs w:val="20"/>
              </w:rPr>
              <w:t xml:space="preserve">Содержит </w:t>
            </w:r>
          </w:p>
        </w:tc>
      </w:tr>
    </w:tbl>
    <w:p>
      <w:pPr>
        <w:pStyle w:val="Normal"/>
        <w:jc w:val="both"/>
        <w:rPr>
          <w:sz w:val="20"/>
          <w:szCs w:val="20"/>
          <w:lang w:val="en-US"/>
        </w:rPr>
      </w:pPr>
      <w:r>
        <w:rPr>
          <w:sz w:val="20"/>
          <w:szCs w:val="20"/>
          <w:lang w:val="en-US"/>
        </w:rPr>
      </w:r>
    </w:p>
    <w:p>
      <w:pPr>
        <w:pStyle w:val="Normal"/>
        <w:jc w:val="both"/>
        <w:rPr/>
      </w:pPr>
      <w:bookmarkStart w:id="0" w:name="__DdeLink__136_4014115248"/>
      <w:bookmarkEnd w:id="0"/>
      <w:r>
        <w:rPr>
          <w:rFonts w:eastAsia="Times New Roman"/>
          <w:sz w:val="20"/>
          <w:szCs w:val="20"/>
          <w:lang w:val="en-US"/>
        </w:rPr>
        <w:t>На основании рассмотрения единственной заявки на участие в электронном аукционе, а также в соответствии с ч. 1 ст. 71 Федерального закона от 05.04.2013 №44-ФЗ «О контрактной системе в сфере закупок товаров, работ, услуг для обеспечения государственных и муниципальных нужд» контракт заключается с единственным участником ОБЩЕСТВО С ОГРАНИЧЕННОЙ ОТВЕТСТВЕННОСТЬЮ "АЛЬБАТРОС".</w:t>
      </w:r>
    </w:p>
    <w:p>
      <w:pPr>
        <w:pStyle w:val="Normal"/>
        <w:jc w:val="both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Normal"/>
        <w:jc w:val="both"/>
        <w:rPr>
          <w:sz w:val="20"/>
          <w:szCs w:val="20"/>
        </w:rPr>
      </w:pPr>
      <w:r>
        <w:rPr>
          <w:sz w:val="20"/>
          <w:szCs w:val="20"/>
        </w:rPr>
        <w:t>Заявка участника закупки содержит предложение о поставке товаров из иностранного государства или группы иностранных государств, работ, услуг, соответственно выполняемых, оказываемых иностранными лицами.</w:t>
      </w:r>
    </w:p>
    <w:p>
      <w:pPr>
        <w:pStyle w:val="Normal"/>
        <w:jc w:val="both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Normal"/>
        <w:jc w:val="both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Электронный аукцион признан не состоявшимся в соответствии с частью 16 статьи 66 Федерального закона от 05.04.2013 № 44-ФЗ «О контрактной системе в сфере закупок товаров, работ, услуг для обеспечения государственных и муниципальных нужд». Причина признания электронного аукциона не состоявшимся: по окончании срока подачи заявок на участие в электронном аукционе оператором электронной площадки зарегистрирована только одна заявка.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  <w:lang w:val="en-US"/>
        </w:rPr>
        <w:t xml:space="preserve">Настоящий </w:t>
      </w:r>
      <w:r>
        <w:rPr>
          <w:rFonts w:eastAsia="Times New Roman"/>
          <w:sz w:val="20"/>
          <w:szCs w:val="20"/>
        </w:rPr>
        <w:t>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spacing w:lineRule="atLeast" w:line="240"/>
        <w:ind w:left="0" w:right="0" w:hanging="0"/>
        <w:jc w:val="both"/>
        <w:rPr/>
      </w:pPr>
      <w:r>
        <w:rPr>
          <w:rFonts w:eastAsia="Times New Roman" w:cs="Times New Roman"/>
          <w:sz w:val="20"/>
          <w:szCs w:val="20"/>
        </w:rPr>
        <w:t>Протокол составлен в одном экземпляре, который хранится в ОКУ «Центр закупок Курской области», и подписан всеми присутствующими членами аукционной комиссии.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lang w:val="ru-RU"/>
        </w:rPr>
      </w:pPr>
      <w:r>
        <w:rPr>
          <w:rFonts w:eastAsia="Times New Roman"/>
          <w:sz w:val="20"/>
          <w:szCs w:val="20"/>
          <w:lang w:val="ru-RU"/>
        </w:rPr>
        <w:t>Подписи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2" w:type="dxa"/>
        <w:jc w:val="left"/>
        <w:tblInd w:w="0" w:type="dxa"/>
        <w:tblCellMar>
          <w:top w:w="55" w:type="dxa"/>
          <w:left w:w="55" w:type="dxa"/>
          <w:bottom w:w="55" w:type="dxa"/>
          <w:right w:w="55" w:type="dxa"/>
        </w:tblCellMar>
      </w:tblPr>
      <w:tblGrid>
        <w:gridCol w:w="3307"/>
        <w:gridCol w:w="3303"/>
        <w:gridCol w:w="3312"/>
      </w:tblGrid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Резниченко Галина Ивановна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Тимошенко Ирина Сергеевна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Прибылов Сергей Александрович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Бартенева Татьяна Васильевна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Меркулова Нина Алексеевна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Холодова Кристина Валерьевна</w:t>
            </w:r>
          </w:p>
        </w:tc>
      </w:tr>
    </w:tbl>
    <w:sectPr>
      <w:type w:val="nextPage"/>
      <w:pgSz w:w="11906" w:h="16838"/>
      <w:pgMar w:left="1418" w:right="566" w:header="0" w:top="1134" w:footer="0" w:bottom="1134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Segoe UI">
    <w:charset w:val="cc"/>
    <w:family w:val="roman"/>
    <w:pitch w:val="variable"/>
  </w:font>
  <w:font w:name="Liberation Sans">
    <w:altName w:val="Arial"/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90"/>
  <w:defaultTabStop w:val="708"/>
  <w:autoHyphenation w:val="true"/>
  <w:compat>
    <w:compatSetting w:name="compatibilityMode" w:uri="http://schemas.microsoft.com/office/word" w:val="12"/>
    <w:compatSetting w:name="useWord2013TrackBottomHyphenation" w:uri="http://schemas.microsoft.com/office/word" w:val="1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ru-RU" w:eastAsia="ru-RU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styleId="Normal" w:default="1">
    <w:name w:val="Normal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" w:cs="Times New Roman" w:eastAsiaTheme="minorEastAsia"/>
      <w:color w:val="00000A"/>
      <w:kern w:val="0"/>
      <w:sz w:val="24"/>
      <w:szCs w:val="24"/>
      <w:lang w:val="ru-RU" w:eastAsia="ru-RU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Annotationreference">
    <w:name w:val="annotation reference"/>
    <w:basedOn w:val="DefaultParagraphFont"/>
    <w:uiPriority w:val="99"/>
    <w:semiHidden/>
    <w:unhideWhenUsed/>
    <w:qFormat/>
    <w:rsid w:val="00b171ee"/>
    <w:rPr>
      <w:sz w:val="16"/>
      <w:szCs w:val="16"/>
    </w:rPr>
  </w:style>
  <w:style w:type="character" w:styleId="Style14" w:customStyle="1">
    <w:name w:val="Текст примечания Знак"/>
    <w:basedOn w:val="DefaultParagraphFont"/>
    <w:uiPriority w:val="99"/>
    <w:semiHidden/>
    <w:qFormat/>
    <w:rsid w:val="00b171ee"/>
    <w:rPr>
      <w:rFonts w:eastAsia="" w:eastAsiaTheme="minorEastAsia"/>
    </w:rPr>
  </w:style>
  <w:style w:type="character" w:styleId="Style15" w:customStyle="1">
    <w:name w:val="Тема примечания Знак"/>
    <w:basedOn w:val="Style14"/>
    <w:uiPriority w:val="99"/>
    <w:semiHidden/>
    <w:qFormat/>
    <w:rsid w:val="00b171ee"/>
    <w:rPr>
      <w:rFonts w:eastAsia="" w:eastAsiaTheme="minorEastAsia"/>
      <w:b/>
      <w:bCs/>
    </w:rPr>
  </w:style>
  <w:style w:type="character" w:styleId="Style16" w:customStyle="1">
    <w:name w:val="Текст выноски Знак"/>
    <w:basedOn w:val="DefaultParagraphFont"/>
    <w:uiPriority w:val="99"/>
    <w:semiHidden/>
    <w:qFormat/>
    <w:rsid w:val="00b171ee"/>
    <w:rPr>
      <w:rFonts w:ascii="Segoe UI" w:hAnsi="Segoe UI" w:eastAsia="" w:cs="Segoe UI" w:eastAsiaTheme="minorEastAsia"/>
      <w:sz w:val="18"/>
      <w:szCs w:val="18"/>
    </w:rPr>
  </w:style>
  <w:style w:type="paragraph" w:styleId="Style17">
    <w:name w:val="Заголовок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Microsoft YaHei" w:cs="Lucida Sans"/>
      <w:sz w:val="28"/>
      <w:szCs w:val="28"/>
    </w:rPr>
  </w:style>
  <w:style w:type="paragraph" w:styleId="Style18">
    <w:name w:val="Body Text"/>
    <w:basedOn w:val="Normal"/>
    <w:pPr>
      <w:spacing w:lineRule="auto" w:line="288" w:before="0" w:after="140"/>
    </w:pPr>
    <w:rPr/>
  </w:style>
  <w:style w:type="paragraph" w:styleId="Style19">
    <w:name w:val="List"/>
    <w:basedOn w:val="Style18"/>
    <w:pPr/>
    <w:rPr>
      <w:rFonts w:cs="Noto Sans Devanagari"/>
    </w:rPr>
  </w:style>
  <w:style w:type="paragraph" w:styleId="Style20">
    <w:name w:val="Caption"/>
    <w:basedOn w:val="Normal"/>
    <w:qFormat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styleId="Style21">
    <w:name w:val="Указатель"/>
    <w:basedOn w:val="Normal"/>
    <w:qFormat/>
    <w:pPr>
      <w:suppressLineNumbers/>
    </w:pPr>
    <w:rPr>
      <w:rFonts w:cs="Lucida Sans"/>
    </w:rPr>
  </w:style>
  <w:style w:type="paragraph" w:styleId="Style22">
    <w:name w:val="Title"/>
    <w:basedOn w:val="Normal"/>
    <w:qFormat/>
    <w:pPr>
      <w:keepNext w:val="true"/>
      <w:spacing w:before="240" w:after="120"/>
    </w:pPr>
    <w:rPr>
      <w:rFonts w:ascii="Liberation Sans" w:hAnsi="Liberation Sans" w:eastAsia="Noto Sans CJK SC Regular" w:cs="Noto Sans Devanagari"/>
      <w:sz w:val="28"/>
      <w:szCs w:val="28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</w:rPr>
  </w:style>
  <w:style w:type="paragraph" w:styleId="Indexheading">
    <w:name w:val="index heading"/>
    <w:basedOn w:val="Normal"/>
    <w:qFormat/>
    <w:pPr>
      <w:suppressLineNumbers/>
    </w:pPr>
    <w:rPr>
      <w:rFonts w:cs="Noto Sans Devanagari"/>
    </w:rPr>
  </w:style>
  <w:style w:type="paragraph" w:styleId="Dt" w:customStyle="1">
    <w:name w:val="dt"/>
    <w:basedOn w:val="Normal"/>
    <w:qFormat/>
    <w:pPr>
      <w:spacing w:beforeAutospacing="1" w:afterAutospacing="1"/>
    </w:pPr>
    <w:rPr/>
  </w:style>
  <w:style w:type="paragraph" w:styleId="Th" w:customStyle="1">
    <w:name w:val="th"/>
    <w:basedOn w:val="Normal"/>
    <w:qFormat/>
    <w:pPr>
      <w:shd w:val="clear" w:color="auto" w:fill="EEEEEE"/>
      <w:spacing w:beforeAutospacing="1" w:afterAutospacing="1"/>
    </w:pPr>
    <w:rPr/>
  </w:style>
  <w:style w:type="paragraph" w:styleId="Fr" w:customStyle="1">
    <w:name w:val="fr"/>
    <w:basedOn w:val="Normal"/>
    <w:qFormat/>
    <w:pPr>
      <w:spacing w:beforeAutospacing="1" w:afterAutospacing="1"/>
    </w:pPr>
    <w:rPr/>
  </w:style>
  <w:style w:type="paragraph" w:styleId="Headingcenter1" w:customStyle="1">
    <w:name w:val="headingcenter1"/>
    <w:basedOn w:val="Normal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styleId="Usual1" w:customStyle="1">
    <w:name w:val="usual1"/>
    <w:basedOn w:val="Normal"/>
    <w:qFormat/>
    <w:pPr>
      <w:spacing w:beforeAutospacing="1" w:after="200"/>
    </w:pPr>
    <w:rPr/>
  </w:style>
  <w:style w:type="paragraph" w:styleId="Usual2" w:customStyle="1">
    <w:name w:val="usual2"/>
    <w:basedOn w:val="Normal"/>
    <w:qFormat/>
    <w:pPr>
      <w:spacing w:beforeAutospacing="1" w:after="200"/>
      <w:ind w:left="460" w:hanging="0"/>
    </w:pPr>
    <w:rPr/>
  </w:style>
  <w:style w:type="paragraph" w:styleId="Margleft1" w:customStyle="1">
    <w:name w:val="margleft1"/>
    <w:basedOn w:val="Normal"/>
    <w:qFormat/>
    <w:pPr>
      <w:spacing w:beforeAutospacing="1" w:afterAutospacing="1"/>
    </w:pPr>
    <w:rPr/>
  </w:style>
  <w:style w:type="paragraph" w:styleId="Commissiontable" w:customStyle="1">
    <w:name w:val="commissiontable"/>
    <w:basedOn w:val="Normal"/>
    <w:qFormat/>
    <w:pPr>
      <w:spacing w:beforeAutospacing="1" w:afterAutospacing="1"/>
    </w:pPr>
    <w:rPr/>
  </w:style>
  <w:style w:type="paragraph" w:styleId="Requests" w:customStyle="1">
    <w:name w:val="requests"/>
    <w:basedOn w:val="Normal"/>
    <w:qFormat/>
    <w:pPr>
      <w:spacing w:beforeAutospacing="1" w:afterAutospacing="1"/>
      <w:ind w:left="460" w:hanging="0"/>
    </w:pPr>
    <w:rPr/>
  </w:style>
  <w:style w:type="paragraph" w:styleId="Margtab1" w:customStyle="1">
    <w:name w:val="margtab1"/>
    <w:basedOn w:val="Normal"/>
    <w:qFormat/>
    <w:pPr>
      <w:spacing w:beforeAutospacing="1" w:afterAutospacing="1"/>
      <w:ind w:left="460" w:hanging="0"/>
    </w:pPr>
    <w:rPr/>
  </w:style>
  <w:style w:type="paragraph" w:styleId="Annotationtext">
    <w:name w:val="annotation text"/>
    <w:basedOn w:val="Normal"/>
    <w:uiPriority w:val="99"/>
    <w:semiHidden/>
    <w:unhideWhenUsed/>
    <w:qFormat/>
    <w:rsid w:val="00b171ee"/>
    <w:pPr/>
    <w:rPr>
      <w:sz w:val="20"/>
      <w:szCs w:val="20"/>
    </w:rPr>
  </w:style>
  <w:style w:type="paragraph" w:styleId="Annotationsubject">
    <w:name w:val="annotation subject"/>
    <w:basedOn w:val="Annotationtext"/>
    <w:uiPriority w:val="99"/>
    <w:semiHidden/>
    <w:unhideWhenUsed/>
    <w:qFormat/>
    <w:rsid w:val="00b171ee"/>
    <w:pPr/>
    <w:rPr>
      <w:b/>
      <w:bCs/>
    </w:rPr>
  </w:style>
  <w:style w:type="paragraph" w:styleId="BalloonText">
    <w:name w:val="Balloon Text"/>
    <w:basedOn w:val="Normal"/>
    <w:uiPriority w:val="99"/>
    <w:semiHidden/>
    <w:unhideWhenUsed/>
    <w:qFormat/>
    <w:rsid w:val="00b171ee"/>
    <w:pPr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styleId="Style23" w:customStyle="1">
    <w:name w:val="Содержимое таблицы"/>
    <w:basedOn w:val="Normal"/>
    <w:qFormat/>
    <w:pPr/>
    <w:rPr/>
  </w:style>
  <w:style w:type="paragraph" w:styleId="Style24" w:customStyle="1">
    <w:name w:val="Заголовок таблицы"/>
    <w:basedOn w:val="Style23"/>
    <w:qFormat/>
    <w:pPr/>
    <w:rPr/>
  </w:style>
  <w:style w:type="paragraph" w:styleId="DocumentMap" w:customStyle="1">
    <w:name w:val="Document Map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Calibri" w:cs="Times New Roman"/>
      <w:color w:val="00000A"/>
      <w:kern w:val="0"/>
      <w:sz w:val="24"/>
      <w:szCs w:val="20"/>
      <w:lang w:val="ru-RU" w:eastAsia="ru-RU" w:bidi="ar-SA"/>
    </w:rPr>
  </w:style>
  <w:style w:type="paragraph" w:styleId="D1eee4e5f0e6e8eceee5f2e0e1ebe8f6fb">
    <w:name w:val="Сd1оeeдe4еe5рf0жe6иe8мecоeeеe5 тf2аe0бe1лebиe8цf6ыfb"/>
    <w:basedOn w:val="Normal"/>
    <w:qFormat/>
    <w:pPr/>
    <w:rPr>
      <w:lang w:eastAsia="ar-SA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783</TotalTime>
  <Application>LibreOffice/6.4.3.2$Windows_x86 LibreOffice_project/747b5d0ebf89f41c860ec2a39efd7cb15b54f2d8</Application>
  <Pages>2</Pages>
  <Words>561</Words>
  <Characters>4271</Characters>
  <CharactersWithSpaces>4743</CharactersWithSpaces>
  <Paragraphs>95</Paragraphs>
  <Company>Hewlett-Packard Company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2018-07-02T14:52:00Z</dcterms:created>
  <dc:creator>Ларий Дарья Григорьевна</dc:creator>
  <dc:description/>
  <dc:language>ru-RU</dc:language>
  <cp:lastModifiedBy/>
  <dcterms:modified xsi:type="dcterms:W3CDTF">2021-03-12T15:53:24Z</dcterms:modified>
  <cp:revision>110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