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медицинских изделий - резервуаров для амбулаторной инсулиновой инфузионной помпы, датчиков системы чрескожного мониторинга уровня глюкозы"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03.1-4/</w:t>
      </w:r>
      <w:r>
        <w:rPr>
          <w:rFonts w:eastAsia="Times New Roman"/>
          <w:b/>
          <w:bCs/>
          <w:sz w:val="20"/>
          <w:szCs w:val="20"/>
          <w:lang w:val="en-US"/>
        </w:rPr>
        <w:t>1081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ru-RU"/>
        </w:rPr>
        <w:t>Регистрационный номер 09-05/24190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“</w:t>
      </w:r>
      <w:r>
        <w:rPr>
          <w:rFonts w:eastAsia="Times New Roman"/>
          <w:sz w:val="20"/>
          <w:szCs w:val="20"/>
          <w:lang w:val="en-US"/>
        </w:rPr>
        <w:t>19</w:t>
      </w:r>
      <w:r>
        <w:rPr>
          <w:rFonts w:eastAsia="Times New Roman"/>
          <w:sz w:val="20"/>
          <w:szCs w:val="20"/>
          <w:lang w:val="en-US"/>
        </w:rPr>
        <w:t xml:space="preserve">”  </w:t>
      </w:r>
      <w:r>
        <w:rPr>
          <w:rFonts w:eastAsia="Times New Roman"/>
          <w:sz w:val="20"/>
          <w:szCs w:val="20"/>
          <w:lang w:val="ru-RU"/>
        </w:rPr>
        <w:t>марта 2021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БЮДЖЕТНОЕ МЕДИЦИНСКОЕ УЧРЕЖДЕНИЕ "КУРСКАЯ ОБЛАСТНАЯ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- резервуаров для амбулаторной инсулиновой инфузионной помпы, датчиков системы чрескожного мониторинга уровня глюкозы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212463000551046320100100430013250244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153 166,50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Меркель Светлана Леоновна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Фатюхин Иван Игоревич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Прибылов Сергей Александрович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Мельчинская Светлана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Ваганова Маргарита Михайловна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EA-81009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КОНТРАСТ" / 3665078771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EA-81009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КОНТРАСТ" / 3665078771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EA-81009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КОНТРАСТ" / 3665078771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EA-81009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КОНТРАСТ" / 3665078771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Прибылов Сергей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EA-81009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КОНТРАСТ" / 3665078771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Мельчинская Светлана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EA-81009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КОНТРАСТ" / 3665078771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Фатюхин Иван Игоревич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EA-81009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КОНТРАСТ" / 3665078771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Ваганова Маргарита Михайловна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widowControl/>
        <w:bidi w:val="0"/>
        <w:spacing w:before="0" w:after="0"/>
        <w:ind w:left="0" w:right="0" w:firstLine="510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"КОМПАНИЯ КОНТРАСТ".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widowControl/>
        <w:bidi w:val="0"/>
        <w:spacing w:before="0" w:after="0"/>
        <w:ind w:left="0" w:right="0" w:firstLine="567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spacing w:lineRule="atLeast" w:line="0" w:before="0" w:after="0"/>
        <w:ind w:left="0" w:right="0" w:firstLine="567"/>
        <w:rPr/>
      </w:pPr>
      <w:r>
        <w:rPr/>
      </w:r>
    </w:p>
    <w:tbl>
      <w:tblPr>
        <w:tblW w:w="10206" w:type="dxa"/>
        <w:jc w:val="left"/>
        <w:tblInd w:w="87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641"/>
        <w:gridCol w:w="6564"/>
      </w:tblGrid>
      <w:tr>
        <w:trPr/>
        <w:tc>
          <w:tcPr>
            <w:tcW w:w="36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23"/>
              <w:widowControl w:val="false"/>
              <w:tabs>
                <w:tab w:val="clear" w:pos="708"/>
              </w:tabs>
              <w:spacing w:lineRule="auto" w:line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6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3"/>
              <w:widowControl w:val="false"/>
              <w:tabs>
                <w:tab w:val="clear" w:pos="708"/>
              </w:tabs>
              <w:spacing w:lineRule="auto" w:line="24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 , в случае , если условия, запреты, ограничения допуска товаров, работ, услуг установлены заказчиком в</w:t>
            </w:r>
            <w:r>
              <w:rPr>
                <w:sz w:val="20"/>
                <w:szCs w:val="20"/>
                <w:shd w:fill="auto" w:val="clear"/>
              </w:rPr>
              <w:t xml:space="preserve"> </w:t>
            </w:r>
            <w:r>
              <w:rPr>
                <w:sz w:val="20"/>
                <w:szCs w:val="20"/>
              </w:rPr>
              <w:t>аукционной документации в соответствии со ст.14 Федерального закона «О контрактной системе в сфере закупок, товаров, работ , услуг для обеспечения государственных и муниципальных  нужд»:</w:t>
            </w:r>
          </w:p>
        </w:tc>
      </w:tr>
      <w:tr>
        <w:trPr/>
        <w:tc>
          <w:tcPr>
            <w:tcW w:w="364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3"/>
              <w:widowControl w:val="false"/>
              <w:tabs>
                <w:tab w:val="clear" w:pos="708"/>
              </w:tabs>
              <w:spacing w:lineRule="auto" w:line="24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1.</w:t>
            </w:r>
          </w:p>
        </w:tc>
        <w:tc>
          <w:tcPr>
            <w:tcW w:w="65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3"/>
              <w:widowControl w:val="false"/>
              <w:tabs>
                <w:tab w:val="clear" w:pos="708"/>
              </w:tabs>
              <w:spacing w:lineRule="auto" w:line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Содержит</w:t>
            </w:r>
          </w:p>
        </w:tc>
      </w:tr>
    </w:tbl>
    <w:p>
      <w:pPr>
        <w:pStyle w:val="Normal"/>
        <w:widowControl w:val="false"/>
        <w:spacing w:lineRule="atLeast" w:line="0" w:before="0" w:after="0"/>
        <w:ind w:left="0" w:right="0" w:firstLine="567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widowControl/>
        <w:bidi w:val="0"/>
        <w:spacing w:before="0" w:after="0"/>
        <w:ind w:left="0" w:right="0" w:firstLine="567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widowControl/>
        <w:bidi w:val="0"/>
        <w:spacing w:before="0" w:after="0"/>
        <w:ind w:left="0" w:right="0" w:firstLine="567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widowControl w:val="false"/>
        <w:spacing w:lineRule="atLeast" w:line="0" w:before="0" w:after="0"/>
        <w:ind w:left="0" w:right="0" w:firstLine="567"/>
        <w:jc w:val="both"/>
        <w:rPr>
          <w:rFonts w:ascii="Times New Roman" w:hAnsi="Times New Roman"/>
          <w:b w:val="false"/>
          <w:b w:val="false"/>
        </w:rPr>
      </w:pPr>
      <w:r>
        <w:rPr>
          <w:b w:val="false"/>
        </w:rPr>
      </w:r>
    </w:p>
    <w:p>
      <w:pPr>
        <w:pStyle w:val="Normal"/>
        <w:widowControl w:val="false"/>
        <w:spacing w:lineRule="atLeast" w:line="0" w:before="0" w:after="0"/>
        <w:ind w:left="0" w:right="0" w:firstLine="567"/>
        <w:jc w:val="both"/>
        <w:rPr>
          <w:rFonts w:eastAsia="Times New Roman"/>
          <w:sz w:val="20"/>
          <w:szCs w:val="20"/>
          <w:shd w:fill="auto" w:val="clear"/>
        </w:rPr>
      </w:pPr>
      <w:r>
        <w:rPr>
          <w:rFonts w:eastAsia="Times New Roman"/>
          <w:b w:val="false"/>
          <w:sz w:val="20"/>
          <w:szCs w:val="20"/>
          <w:shd w:fill="auto" w:val="clear"/>
        </w:rPr>
        <w:t>Протокол составлен в одном экземпляре, который хранится в ОБЛАСТНО</w:t>
      </w:r>
      <w:r>
        <w:rPr>
          <w:rFonts w:eastAsia="Times New Roman"/>
          <w:b w:val="false"/>
          <w:color w:val="000000"/>
          <w:sz w:val="20"/>
          <w:szCs w:val="20"/>
          <w:shd w:fill="auto" w:val="clear"/>
        </w:rPr>
        <w:t>М</w:t>
      </w:r>
      <w:r>
        <w:rPr>
          <w:rFonts w:eastAsia="Times New Roman"/>
          <w:b w:val="false"/>
          <w:sz w:val="20"/>
          <w:szCs w:val="20"/>
          <w:shd w:fill="auto" w:val="clear"/>
        </w:rPr>
        <w:t xml:space="preserve"> КАЗЕННО</w:t>
      </w:r>
      <w:r>
        <w:rPr>
          <w:rFonts w:eastAsia="Times New Roman"/>
          <w:b w:val="false"/>
          <w:color w:val="000000"/>
          <w:sz w:val="20"/>
          <w:szCs w:val="20"/>
          <w:shd w:fill="auto" w:val="clear"/>
        </w:rPr>
        <w:t>М</w:t>
      </w:r>
      <w:r>
        <w:rPr>
          <w:rFonts w:eastAsia="Times New Roman"/>
          <w:b w:val="false"/>
          <w:sz w:val="20"/>
          <w:szCs w:val="20"/>
          <w:shd w:fill="auto" w:val="clear"/>
        </w:rPr>
        <w:t xml:space="preserve"> УЧРЕЖДЕНИ</w:t>
      </w:r>
      <w:r>
        <w:rPr>
          <w:rFonts w:eastAsia="Times New Roman"/>
          <w:b w:val="false"/>
          <w:color w:val="000000"/>
          <w:sz w:val="20"/>
          <w:szCs w:val="20"/>
          <w:shd w:fill="auto" w:val="clear"/>
        </w:rPr>
        <w:t>И</w:t>
      </w:r>
      <w:r>
        <w:rPr>
          <w:rFonts w:eastAsia="Times New Roman"/>
          <w:b w:val="false"/>
          <w:sz w:val="20"/>
          <w:szCs w:val="20"/>
          <w:shd w:fill="auto" w:val="clear"/>
        </w:rPr>
        <w:t xml:space="preserve"> "ЦЕНТР ЗАКУПОК КУРСКОЙ ОБЛАСТИ" и подписан всеми присутствующими членами аукционной комиссии.</w:t>
      </w:r>
      <w:r>
        <w:rPr>
          <w:rFonts w:eastAsia="Times New Roman"/>
          <w:sz w:val="20"/>
          <w:szCs w:val="20"/>
          <w:shd w:fill="auto" w:val="clear"/>
        </w:rPr>
        <w:t xml:space="preserve"> </w:t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Фатюхин Иван Игоревич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Прибылов Сергей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Мельчинская Светлана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Ваганова Маргарита Михайловна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9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775</TotalTime>
  <Application>LibreOffice/7.1.0.3$Windows_X86_64 LibreOffice_project/f6099ecf3d29644b5008cc8f48f42f4a40986e4c</Application>
  <AppVersion>15.0000</AppVersion>
  <Pages>2</Pages>
  <Words>608</Words>
  <Characters>4660</Characters>
  <CharactersWithSpaces>5169</CharactersWithSpaces>
  <Paragraphs>106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2021-03-19T11:22:42Z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