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ind w:firstLine="567" w:left="0" w:right="0"/>
        <w:jc w:val="center"/>
      </w:pPr>
      <w:bookmarkStart w:id="0" w:name="_GoBack"/>
      <w:bookmarkEnd w:id="0"/>
      <w:r>
        <w:rPr>
          <w:rFonts w:eastAsia="Times New Roman"/>
          <w:b/>
          <w:bCs/>
          <w:sz w:val="20"/>
          <w:szCs w:val="20"/>
        </w:rPr>
        <w:t>Протокол подведения итогов № 09-05/24488/1011 электронного аукциона</w:t>
      </w:r>
    </w:p>
    <w:p>
      <w:pPr>
        <w:pStyle w:val="style0"/>
        <w:ind w:firstLine="567" w:left="0" w:right="0"/>
        <w:jc w:val="center"/>
      </w:pPr>
      <w:r>
        <w:rPr>
          <w:rFonts w:eastAsia="Times New Roman"/>
          <w:b/>
          <w:bCs/>
          <w:sz w:val="20"/>
          <w:szCs w:val="20"/>
        </w:rPr>
        <w:t xml:space="preserve">"Оказание охранных услуг с помощью средств охранно-тревожной сигнализации" </w:t>
      </w:r>
    </w:p>
    <w:p>
      <w:pPr>
        <w:pStyle w:val="style0"/>
        <w:ind w:firstLine="567" w:left="0" w:right="0"/>
        <w:jc w:val="cente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0744200000221001509) </w:t>
      </w:r>
    </w:p>
    <w:p>
      <w:pPr>
        <w:pStyle w:val="style0"/>
        <w:ind w:firstLine="567" w:left="0" w:right="0"/>
        <w:jc w:val="center"/>
      </w:pPr>
      <w:r>
        <w:rPr/>
      </w:r>
    </w:p>
    <w:p>
      <w:pPr>
        <w:pStyle w:val="style0"/>
        <w:ind w:firstLine="567" w:left="0" w:right="0"/>
        <w:jc w:val="right"/>
      </w:pPr>
      <w:r>
        <w:rPr>
          <w:rFonts w:eastAsia="Times New Roman"/>
          <w:sz w:val="20"/>
          <w:szCs w:val="20"/>
          <w:lang w:val="en-US"/>
        </w:rPr>
        <w:t>29</w:t>
      </w:r>
      <w:r>
        <w:rPr>
          <w:rFonts w:eastAsia="Times New Roman"/>
          <w:sz w:val="20"/>
          <w:szCs w:val="20"/>
          <w:lang w:val="en-US"/>
        </w:rPr>
        <w:t xml:space="preserve">.03.21 </w:t>
      </w:r>
    </w:p>
    <w:p>
      <w:pPr>
        <w:pStyle w:val="style0"/>
        <w:ind w:firstLine="567" w:left="0" w:right="0"/>
      </w:pPr>
      <w:r>
        <w:rPr/>
      </w:r>
    </w:p>
    <w:p>
      <w:pPr>
        <w:pStyle w:val="style0"/>
      </w:pPr>
      <w:r>
        <w:rPr>
          <w:rFonts w:eastAsia="Times New Roman"/>
          <w:sz w:val="20"/>
          <w:szCs w:val="20"/>
        </w:rPr>
        <w:t>Место</w:t>
      </w:r>
      <w:r>
        <w:rPr>
          <w:rFonts w:eastAsia="Times New Roman"/>
          <w:sz w:val="20"/>
          <w:szCs w:val="20"/>
          <w:lang w:val="en-US"/>
        </w:rPr>
        <w:t xml:space="preserve"> </w:t>
      </w:r>
      <w:r>
        <w:rPr>
          <w:rFonts w:eastAsia="Times New Roman"/>
          <w:sz w:val="20"/>
          <w:szCs w:val="20"/>
        </w:rPr>
        <w:t>публикации</w:t>
      </w:r>
      <w:r>
        <w:rPr>
          <w:rFonts w:eastAsia="Times New Roman"/>
          <w:sz w:val="20"/>
          <w:szCs w:val="20"/>
          <w:lang w:val="en-US"/>
        </w:rPr>
        <w:t>: Российская Федерация, 305000, Курская обл, Курск г, Красн</w:t>
      </w:r>
      <w:r>
        <w:rPr>
          <w:rFonts w:eastAsia="Times New Roman"/>
          <w:sz w:val="20"/>
          <w:szCs w:val="20"/>
          <w:lang w:val="ru-RU"/>
        </w:rPr>
        <w:t>ая</w:t>
      </w:r>
      <w:r>
        <w:rPr>
          <w:rFonts w:eastAsia="Times New Roman"/>
          <w:sz w:val="20"/>
          <w:szCs w:val="20"/>
          <w:lang w:val="en-US"/>
        </w:rPr>
        <w:t xml:space="preserve"> </w:t>
      </w:r>
      <w:r>
        <w:rPr>
          <w:rFonts w:eastAsia="Times New Roman"/>
          <w:sz w:val="20"/>
          <w:szCs w:val="20"/>
          <w:lang w:val="ru-RU"/>
        </w:rPr>
        <w:t>Площадь</w:t>
      </w:r>
      <w:r>
        <w:rPr>
          <w:rFonts w:eastAsia="Times New Roman"/>
          <w:sz w:val="20"/>
          <w:szCs w:val="20"/>
          <w:lang w:val="en-US"/>
        </w:rPr>
        <w:t xml:space="preserve">, д.6, </w:t>
      </w:r>
      <w:r>
        <w:rPr>
          <w:rFonts w:eastAsia="Times New Roman"/>
          <w:sz w:val="20"/>
          <w:szCs w:val="20"/>
          <w:lang w:val="ru-RU"/>
        </w:rPr>
        <w:t>подъезд 1</w:t>
      </w:r>
    </w:p>
    <w:p>
      <w:pPr>
        <w:pStyle w:val="style0"/>
      </w:pPr>
      <w:r>
        <w:rPr/>
      </w:r>
    </w:p>
    <w:p>
      <w:pPr>
        <w:pStyle w:val="style0"/>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ОБЛАСТНОЕ КАЗЕННОЕ УЧРЕЖДЕНИЕ "ЦЕНТР ЗАКУПОК КУРСКОЙ ОБЛАСТИ"</w:t>
      </w:r>
    </w:p>
    <w:p>
      <w:pPr>
        <w:pStyle w:val="style0"/>
      </w:pPr>
      <w:r>
        <w:rPr/>
      </w:r>
    </w:p>
    <w:p>
      <w:pPr>
        <w:pStyle w:val="style0"/>
      </w:pPr>
      <w:r>
        <w:rPr>
          <w:rFonts w:eastAsia="Times New Roman"/>
          <w:sz w:val="20"/>
          <w:szCs w:val="20"/>
          <w:lang w:val="en-US"/>
        </w:rPr>
        <w:t>Заказчик: ОБЛАСТНОЕ БЮДЖЕТНОЕ УЧРЕЖДЕНИЕ ЗДРАВООХРАНЕНИЯ "КУРСКАЯ ЦЕНТРАЛЬНАЯ РАЙОННАЯ БОЛЬНИЦА" КОМИТЕТА ЗДРАВООХРАНЕНИЯ КУРСКОЙ ОБЛАСТИ</w:t>
      </w:r>
    </w:p>
    <w:p>
      <w:pPr>
        <w:pStyle w:val="style0"/>
      </w:pPr>
      <w:r>
        <w:rPr/>
      </w:r>
    </w:p>
    <w:p>
      <w:pPr>
        <w:pStyle w:val="style0"/>
      </w:pPr>
      <w:r>
        <w:rPr>
          <w:rFonts w:eastAsia="Times New Roman"/>
          <w:sz w:val="20"/>
          <w:szCs w:val="20"/>
        </w:rPr>
        <w:t>Наименование</w:t>
      </w:r>
      <w:r>
        <w:rPr>
          <w:rFonts w:eastAsia="Times New Roman"/>
          <w:sz w:val="20"/>
          <w:szCs w:val="20"/>
          <w:lang w:val="en-US"/>
        </w:rPr>
        <w:t xml:space="preserve"> </w:t>
      </w:r>
      <w:r>
        <w:rPr>
          <w:rFonts w:eastAsia="Times New Roman"/>
          <w:sz w:val="20"/>
          <w:szCs w:val="20"/>
        </w:rPr>
        <w:t>закупки</w:t>
      </w:r>
      <w:r>
        <w:rPr>
          <w:rFonts w:eastAsia="Times New Roman"/>
          <w:sz w:val="20"/>
          <w:szCs w:val="20"/>
          <w:lang w:val="en-US"/>
        </w:rPr>
        <w:t xml:space="preserve">: Оказание охранных услуг с помощью средств охранно-тревожной сигнализации </w:t>
      </w:r>
    </w:p>
    <w:p>
      <w:pPr>
        <w:pStyle w:val="style0"/>
      </w:pPr>
      <w:r>
        <w:rPr/>
      </w:r>
    </w:p>
    <w:p>
      <w:pPr>
        <w:pStyle w:val="style0"/>
      </w:pPr>
      <w:r>
        <w:rPr>
          <w:rFonts w:eastAsia="Times New Roman"/>
          <w:sz w:val="20"/>
          <w:szCs w:val="20"/>
        </w:rPr>
        <w:t>Идентификационный код закупки: 212461100214346110100100520018010244</w:t>
      </w:r>
    </w:p>
    <w:p>
      <w:pPr>
        <w:pStyle w:val="style0"/>
      </w:pPr>
      <w:r>
        <w:rPr/>
      </w:r>
    </w:p>
    <w:p>
      <w:pPr>
        <w:pStyle w:val="style0"/>
      </w:pPr>
      <w:r>
        <w:rPr>
          <w:rFonts w:eastAsia="Times New Roman"/>
          <w:sz w:val="20"/>
          <w:szCs w:val="20"/>
        </w:rPr>
        <w:t>Начальная (максимальная) цена контракта/Максимальное значение цены контракта: 115 200,00 руб.</w:t>
      </w:r>
    </w:p>
    <w:p>
      <w:pPr>
        <w:pStyle w:val="style0"/>
      </w:pPr>
      <w:r>
        <w:rPr/>
      </w:r>
    </w:p>
    <w:p>
      <w:pPr>
        <w:pStyle w:val="style0"/>
      </w:pPr>
      <w:r>
        <w:rPr>
          <w:rFonts w:eastAsia="Times New Roman"/>
          <w:sz w:val="20"/>
          <w:szCs w:val="20"/>
        </w:rPr>
        <w:t>Снижение</w:t>
      </w:r>
      <w:r>
        <w:rPr>
          <w:rFonts w:eastAsia="Times New Roman"/>
          <w:sz w:val="20"/>
          <w:szCs w:val="20"/>
          <w:lang w:val="en-US"/>
        </w:rPr>
        <w:t xml:space="preserve"> </w:t>
      </w:r>
      <w:r>
        <w:rPr>
          <w:rFonts w:eastAsia="Times New Roman"/>
          <w:sz w:val="20"/>
          <w:szCs w:val="20"/>
        </w:rPr>
        <w:t>НМЦК</w:t>
      </w:r>
      <w:r>
        <w:rPr>
          <w:rFonts w:eastAsia="Times New Roman"/>
          <w:sz w:val="20"/>
          <w:szCs w:val="20"/>
          <w:lang w:val="en-US"/>
        </w:rPr>
        <w:t>, %: 69.00</w:t>
      </w:r>
    </w:p>
    <w:p>
      <w:pPr>
        <w:pStyle w:val="style0"/>
      </w:pPr>
      <w:r>
        <w:rPr/>
      </w:r>
    </w:p>
    <w:p>
      <w:pPr>
        <w:pStyle w:val="style0"/>
      </w:pPr>
      <w:r>
        <w:rPr>
          <w:rFonts w:eastAsia="Times New Roman"/>
          <w:sz w:val="20"/>
          <w:szCs w:val="20"/>
        </w:rPr>
        <w:t>Состав аукционной комиссии:</w:t>
      </w:r>
    </w:p>
    <w:tbl>
      <w:tblPr>
        <w:jc w:val="left"/>
        <w:tblInd w:type="dxa" w:w="-14"/>
        <w:tblBorders>
          <w:top w:val="none"/>
          <w:left w:val="none"/>
          <w:bottom w:val="none"/>
          <w:insideH w:val="none"/>
          <w:right w:val="none"/>
          <w:insideV w:val="none"/>
        </w:tblBorders>
        <w:tblCellMar>
          <w:top w:type="dxa" w:w="15"/>
          <w:left w:type="dxa" w:w="15"/>
          <w:bottom w:type="dxa" w:w="15"/>
          <w:right w:type="dxa" w:w="15"/>
        </w:tblCellMar>
      </w:tblPr>
      <w:tblGrid>
        <w:gridCol w:w="3399"/>
        <w:gridCol w:w="3402"/>
        <w:gridCol w:w="3126"/>
      </w:tblGrid>
      <w:tr>
        <w:trPr>
          <w:cantSplit w:val="false"/>
        </w:trPr>
        <w:tc>
          <w:tcPr>
            <w:tcW w:type="dxa" w:w="3399"/>
            <w:tcBorders>
              <w:top w:val="none"/>
              <w:left w:val="none"/>
              <w:bottom w:val="none"/>
              <w:right w:val="none"/>
            </w:tcBorders>
            <w:shd w:fill="FFFFFF" w:val="clear"/>
          </w:tcPr>
          <w:p>
            <w:pPr>
              <w:pStyle w:val="style0"/>
            </w:pPr>
            <w:r>
              <w:rPr>
                <w:sz w:val="20"/>
                <w:szCs w:val="20"/>
                <w:lang w:val="en-US"/>
              </w:rPr>
              <w:t>Председатель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Полторацкий Алексей Николаевич</w:t>
            </w:r>
          </w:p>
        </w:tc>
        <w:tc>
          <w:tcPr>
            <w:tcW w:type="dxa" w:w="3126"/>
            <w:tcBorders>
              <w:top w:val="none"/>
              <w:left w:val="none"/>
              <w:bottom w:val="none"/>
              <w:right w:val="none"/>
            </w:tcBorders>
            <w:shd w:fill="FFFFFF" w:val="clear"/>
          </w:tcPr>
          <w:p>
            <w:pPr>
              <w:pStyle w:val="style0"/>
            </w:pPr>
            <w:r>
              <w:rPr>
                <w:rFonts w:cs="" w:eastAsia=""/>
                <w:color w:val="00000A"/>
                <w:sz w:val="20"/>
                <w:szCs w:val="20"/>
                <w:lang w:bidi="ar-SA" w:eastAsia="ru-RU" w:val="ru-RU"/>
              </w:rPr>
              <w:t xml:space="preserve">Отсутстувует </w:t>
            </w:r>
          </w:p>
        </w:tc>
      </w:tr>
      <w:tr>
        <w:trPr>
          <w:cantSplit w:val="false"/>
        </w:trPr>
        <w:tc>
          <w:tcPr>
            <w:tcW w:type="dxa" w:w="3399"/>
            <w:tcBorders>
              <w:top w:val="none"/>
              <w:left w:val="none"/>
              <w:bottom w:val="none"/>
              <w:right w:val="none"/>
            </w:tcBorders>
            <w:shd w:fill="FFFFFF" w:val="clear"/>
          </w:tcPr>
          <w:p>
            <w:pPr>
              <w:pStyle w:val="style0"/>
            </w:pPr>
            <w:r>
              <w:rPr>
                <w:sz w:val="20"/>
                <w:szCs w:val="20"/>
                <w:lang w:val="en-US"/>
              </w:rPr>
              <w:t>Зам. председателя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Костина Анастасия Сергеевна</w:t>
            </w:r>
          </w:p>
        </w:tc>
        <w:tc>
          <w:tcPr>
            <w:tcW w:type="dxa" w:w="3126"/>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399"/>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Анпилогов Вадим Валерьевич</w:t>
            </w:r>
          </w:p>
        </w:tc>
        <w:tc>
          <w:tcPr>
            <w:tcW w:type="dxa" w:w="3126"/>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399"/>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Полянский Сергей Петрович</w:t>
            </w:r>
          </w:p>
        </w:tc>
        <w:tc>
          <w:tcPr>
            <w:tcW w:type="dxa" w:w="3126"/>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399"/>
            <w:tcBorders>
              <w:top w:val="none"/>
              <w:left w:val="none"/>
              <w:bottom w:val="none"/>
              <w:right w:val="none"/>
            </w:tcBorders>
            <w:shd w:fill="FFFFFF" w:val="clear"/>
          </w:tcPr>
          <w:p>
            <w:pPr>
              <w:pStyle w:val="style0"/>
            </w:pPr>
            <w:r>
              <w:rPr>
                <w:sz w:val="20"/>
                <w:szCs w:val="20"/>
                <w:lang w:val="en-US"/>
              </w:rPr>
              <w:t>Член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Федосов Вячеслав Иянович</w:t>
            </w:r>
          </w:p>
        </w:tc>
        <w:tc>
          <w:tcPr>
            <w:tcW w:type="dxa" w:w="3126"/>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r>
        <w:trPr>
          <w:cantSplit w:val="false"/>
        </w:trPr>
        <w:tc>
          <w:tcPr>
            <w:tcW w:type="dxa" w:w="3399"/>
            <w:tcBorders>
              <w:top w:val="none"/>
              <w:left w:val="none"/>
              <w:bottom w:val="none"/>
              <w:right w:val="none"/>
            </w:tcBorders>
            <w:shd w:fill="FFFFFF" w:val="clear"/>
          </w:tcPr>
          <w:p>
            <w:pPr>
              <w:pStyle w:val="style0"/>
            </w:pPr>
            <w:r>
              <w:rPr>
                <w:sz w:val="20"/>
                <w:szCs w:val="20"/>
                <w:lang w:val="en-US"/>
              </w:rPr>
              <w:t>Секретарь комиссии</w:t>
            </w:r>
          </w:p>
        </w:tc>
        <w:tc>
          <w:tcPr>
            <w:tcW w:type="dxa" w:w="3402"/>
            <w:tcBorders>
              <w:top w:val="none"/>
              <w:left w:val="none"/>
              <w:bottom w:val="none"/>
              <w:right w:val="none"/>
            </w:tcBorders>
            <w:shd w:fill="FFFFFF" w:val="clear"/>
          </w:tcPr>
          <w:p>
            <w:pPr>
              <w:pStyle w:val="style0"/>
            </w:pPr>
            <w:r>
              <w:rPr>
                <w:rFonts w:cs="" w:eastAsia=""/>
                <w:color w:val="00000A"/>
                <w:sz w:val="20"/>
                <w:szCs w:val="20"/>
                <w:lang w:bidi="ar-SA" w:eastAsia="ru-RU" w:val="en-US"/>
              </w:rPr>
              <w:t>Ходосов Максим Андреевич</w:t>
            </w:r>
          </w:p>
        </w:tc>
        <w:tc>
          <w:tcPr>
            <w:tcW w:type="dxa" w:w="3126"/>
            <w:tcBorders>
              <w:top w:val="none"/>
              <w:left w:val="none"/>
              <w:bottom w:val="none"/>
              <w:right w:val="none"/>
            </w:tcBorders>
            <w:shd w:fill="FFFFFF" w:val="clear"/>
          </w:tcPr>
          <w:p>
            <w:pPr>
              <w:pStyle w:val="style0"/>
            </w:pPr>
            <w:r>
              <w:rPr>
                <w:rFonts w:cs="" w:eastAsia=""/>
                <w:color w:val="00000A"/>
                <w:sz w:val="20"/>
                <w:szCs w:val="20"/>
                <w:lang w:bidi="ar-SA" w:eastAsia="ru-RU" w:val="en-US"/>
              </w:rPr>
              <w:t>Присутствует</w:t>
            </w:r>
          </w:p>
        </w:tc>
      </w:tr>
    </w:tbl>
    <w:p>
      <w:pPr>
        <w:pStyle w:val="style0"/>
      </w:pPr>
      <w:r>
        <w:rPr/>
      </w:r>
    </w:p>
    <w:p>
      <w:pPr>
        <w:pStyle w:val="style0"/>
        <w:jc w:val="both"/>
      </w:pPr>
      <w:r>
        <w:rPr>
          <w:rFonts w:eastAsia="Times New Roman"/>
          <w:sz w:val="20"/>
          <w:szCs w:val="20"/>
        </w:rPr>
        <w:t>Заседание комиссии правомочно, кворум имеется.</w:t>
      </w:r>
    </w:p>
    <w:p>
      <w:pPr>
        <w:pStyle w:val="style0"/>
      </w:pPr>
      <w:r>
        <w:rPr/>
      </w:r>
    </w:p>
    <w:p>
      <w:pPr>
        <w:pStyle w:val="style0"/>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style0"/>
      </w:pPr>
      <w:r>
        <w:rPr/>
      </w:r>
    </w:p>
    <w:tbl>
      <w:tblPr>
        <w:jc w:val="left"/>
        <w:tblInd w:type="dxa" w:w="0"/>
        <w:tblBorders>
          <w:top w:val="none"/>
          <w:left w:val="none"/>
          <w:bottom w:val="none"/>
          <w:insideH w:val="none"/>
          <w:right w:val="none"/>
          <w:insideV w:val="none"/>
        </w:tblBorders>
        <w:tblCellMar>
          <w:top w:type="dxa" w:w="55"/>
          <w:left w:type="dxa" w:w="55"/>
          <w:bottom w:type="dxa" w:w="55"/>
          <w:right w:type="dxa" w:w="55"/>
        </w:tblCellMar>
      </w:tblPr>
      <w:tblGrid>
        <w:gridCol w:w="9977"/>
      </w:tblGrid>
      <w:tr>
        <w:trPr>
          <w:trHeight w:hRule="atLeast" w:val="285"/>
          <w:cantSplit w:val="false"/>
        </w:trPr>
        <w:tc>
          <w:tcPr>
            <w:tcW w:type="dxa" w:w="9977"/>
            <w:gridSpan w:val="3"/>
            <w:tcBorders>
              <w:top w:val="none"/>
              <w:left w:val="none"/>
              <w:bottom w:val="none"/>
              <w:right w:val="none"/>
            </w:tcBorders>
            <w:shd w:fill="FFFFFF" w:val="clear"/>
          </w:tcPr>
          <w:p>
            <w:pPr>
              <w:pStyle w:val="style0"/>
            </w:pPr>
            <w:r>
              <w:rPr>
                <w:rFonts w:eastAsia="Times New Roman"/>
                <w:sz w:val="20"/>
                <w:szCs w:val="20"/>
              </w:rPr>
              <w:t>Сведения об участниках аукциона:</w:t>
            </w:r>
          </w:p>
        </w:tc>
      </w:tr>
      <w:tr>
        <w:trPr>
          <w:cantSplit w:val="false"/>
        </w:trPr>
        <w:tc>
          <w:tcPr>
            <w:tcW w:type="dxa" w:w="2549"/>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jc w:val="center"/>
            </w:pPr>
            <w:r>
              <w:rPr>
                <w:rFonts w:eastAsia="Times New Roman"/>
                <w:sz w:val="20"/>
                <w:szCs w:val="20"/>
              </w:rPr>
              <w:t>Идентификационный номер</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jc w:val="center"/>
            </w:pPr>
            <w:r>
              <w:rPr>
                <w:rFonts w:eastAsia="Times New Roman"/>
                <w:sz w:val="20"/>
                <w:szCs w:val="20"/>
              </w:rPr>
              <w:t>Наименование / ИНН участника аукциона</w:t>
            </w:r>
          </w:p>
        </w:tc>
        <w:tc>
          <w:tcPr>
            <w:tcW w:type="dxa" w:w="3417"/>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jc w:val="center"/>
            </w:pPr>
            <w:r>
              <w:rPr>
                <w:rFonts w:eastAsia="Times New Roman"/>
                <w:sz w:val="20"/>
                <w:szCs w:val="20"/>
              </w:rPr>
              <w:t>Минимальное предложение о цене контракта, сделанное участником аукциона</w:t>
            </w:r>
          </w:p>
        </w:tc>
      </w:tr>
      <w:tr>
        <w:trPr>
          <w:cantSplit w:val="false"/>
        </w:trPr>
        <w:tc>
          <w:tcPr>
            <w:tcW w:type="dxa" w:w="2549"/>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EA-81976</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0"/>
            </w:pPr>
            <w:r>
              <w:rPr>
                <w:sz w:val="20"/>
                <w:szCs w:val="20"/>
                <w:lang w:val="en-US"/>
              </w:rPr>
              <w:t>ФЕДЕРАЛЬНОЕ ГОСУДАРСТВЕННОЕ КАЗЕННОЕ УЧРЕЖДЕНИЕ "УПРАВЛЕНИЕ ВНЕВЕДОМСТВЕННОЙ ОХРАНЫ ВОЙСК НАЦИОНАЛЬНОЙ ГВАРДИИ РОССИЙСКОЙ ФЕДЕРАЦИИ ПО КУРСКОЙ ОБЛАСТИ" / 4632167467</w:t>
            </w:r>
          </w:p>
        </w:tc>
        <w:tc>
          <w:tcPr>
            <w:tcW w:type="dxa" w:w="3417"/>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113 472,00 руб.</w:t>
            </w:r>
          </w:p>
        </w:tc>
      </w:tr>
      <w:tr>
        <w:trPr>
          <w:cantSplit w:val="false"/>
        </w:trPr>
        <w:tc>
          <w:tcPr>
            <w:tcW w:type="dxa" w:w="2549"/>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EA-80646</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0"/>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 / 7719555477</w:t>
            </w:r>
          </w:p>
        </w:tc>
        <w:tc>
          <w:tcPr>
            <w:tcW w:type="dxa" w:w="3417"/>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35 712,00 руб.</w:t>
            </w:r>
          </w:p>
        </w:tc>
      </w:tr>
      <w:tr>
        <w:trPr>
          <w:cantSplit w:val="false"/>
        </w:trPr>
        <w:tc>
          <w:tcPr>
            <w:tcW w:type="dxa" w:w="2549"/>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EA-80807</w:t>
            </w:r>
          </w:p>
        </w:tc>
        <w:tc>
          <w:tcPr>
            <w:tcW w:type="dxa" w:w="4011"/>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0"/>
            </w:pPr>
            <w:r>
              <w:rPr>
                <w:sz w:val="20"/>
                <w:szCs w:val="20"/>
                <w:lang w:val="en-US"/>
              </w:rPr>
              <w:t>ОБЩЕСТВО С ОГРАНИЧЕННОЙ ОТВЕТСТВЕННОСТЬЮ "ЧАСТНАЯ ОХРАННАЯ ОРГАНИЗАЦИЯ "ГОСУДАРЬ" / 4604005249</w:t>
            </w:r>
          </w:p>
        </w:tc>
        <w:tc>
          <w:tcPr>
            <w:tcW w:type="dxa" w:w="3417"/>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36 288,00 руб.</w:t>
            </w:r>
          </w:p>
        </w:tc>
      </w:tr>
    </w:tbl>
    <w:p>
      <w:pPr>
        <w:pStyle w:val="style0"/>
      </w:pPr>
      <w:r>
        <w:rPr/>
      </w:r>
    </w:p>
    <w:tbl>
      <w:tblPr>
        <w:jc w:val="left"/>
        <w:tblInd w:type="dxa" w:w="0"/>
        <w:tblBorders>
          <w:top w:val="none"/>
          <w:left w:val="none"/>
          <w:bottom w:val="none"/>
          <w:insideH w:val="none"/>
          <w:right w:val="none"/>
          <w:insideV w:val="none"/>
        </w:tblBorders>
        <w:tblCellMar>
          <w:top w:type="dxa" w:w="55"/>
          <w:left w:type="dxa" w:w="55"/>
          <w:bottom w:type="dxa" w:w="55"/>
          <w:right w:type="dxa" w:w="55"/>
        </w:tblCellMar>
      </w:tblPr>
      <w:tblGrid>
        <w:gridCol w:w="9975"/>
      </w:tblGrid>
      <w:tr>
        <w:trPr>
          <w:cantSplit w:val="false"/>
        </w:trPr>
        <w:tc>
          <w:tcPr>
            <w:tcW w:type="dxa" w:w="9975"/>
            <w:gridSpan w:val="4"/>
            <w:tcBorders>
              <w:top w:val="none"/>
              <w:left w:val="none"/>
              <w:bottom w:val="none"/>
              <w:right w:val="none"/>
            </w:tcBorders>
            <w:shd w:fill="FFFFFF" w:val="clear"/>
          </w:tcPr>
          <w:p>
            <w:pPr>
              <w:pStyle w:val="style0"/>
              <w:ind w:hanging="0" w:left="-45" w:right="0"/>
            </w:pPr>
            <w:r>
              <w:rPr>
                <w:rFonts w:eastAsia="Times New Roman"/>
                <w:sz w:val="20"/>
                <w:szCs w:val="20"/>
              </w:rPr>
              <w:t>Сведения о решении аукционной комиссии:</w:t>
            </w:r>
          </w:p>
        </w:tc>
      </w:tr>
      <w:tr>
        <w:trPr>
          <w:cantSplit w:val="false"/>
        </w:trPr>
        <w:tc>
          <w:tcPr>
            <w:tcW w:type="dxa" w:w="2550"/>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widowControl/>
              <w:spacing w:after="0" w:before="0"/>
              <w:ind w:hanging="0" w:left="0" w:right="0"/>
              <w:contextualSpacing w:val="false"/>
              <w:jc w:val="center"/>
            </w:pPr>
            <w:r>
              <w:rPr>
                <w:rFonts w:eastAsia="Times New Roman"/>
                <w:sz w:val="20"/>
                <w:szCs w:val="20"/>
              </w:rPr>
              <w:t xml:space="preserve">Идентификационный номер </w:t>
            </w:r>
            <w:r>
              <w:rPr>
                <w:rFonts w:eastAsia="Times New Roman"/>
                <w:sz w:val="20"/>
                <w:szCs w:val="20"/>
                <w:lang w:val="en-US"/>
              </w:rPr>
              <w:t xml:space="preserve">/ </w:t>
            </w:r>
            <w:r>
              <w:rPr>
                <w:rFonts w:eastAsia="Times New Roman"/>
                <w:sz w:val="20"/>
                <w:szCs w:val="20"/>
                <w:lang w:val="ru-RU"/>
              </w:rPr>
              <w:t>Наименование участника</w:t>
            </w:r>
          </w:p>
        </w:tc>
        <w:tc>
          <w:tcPr>
            <w:tcW w:type="dxa" w:w="2937"/>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widowControl/>
              <w:overflowPunct w:val="true"/>
              <w:spacing w:after="0" w:before="0"/>
              <w:ind w:hanging="0" w:left="0" w:right="0"/>
              <w:contextualSpacing w:val="false"/>
              <w:jc w:val="center"/>
            </w:pPr>
            <w:r>
              <w:rPr>
                <w:rFonts w:cs="Times New Roman" w:eastAsia="Times New Roman"/>
                <w:color w:val="00000A"/>
                <w:sz w:val="20"/>
                <w:szCs w:val="20"/>
                <w:lang w:bidi="ar-SA" w:eastAsia="ru-RU" w:val="ru-RU"/>
              </w:rPr>
              <w:t>Решение о соответствии или о несоответствии заявки требованиям документации</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widowControl/>
              <w:spacing w:after="0" w:before="0"/>
              <w:ind w:hanging="0" w:left="0" w:right="0"/>
              <w:contextualSpacing w:val="false"/>
              <w:jc w:val="center"/>
            </w:pPr>
            <w:r>
              <w:rPr>
                <w:rFonts w:eastAsia="Times New Roman"/>
                <w:sz w:val="20"/>
                <w:szCs w:val="20"/>
              </w:rPr>
              <w:t>Ф.И.О. члена аукционной комиссии</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vAlign w:val="center"/>
          </w:tcPr>
          <w:p>
            <w:pPr>
              <w:pStyle w:val="style0"/>
              <w:widowControl/>
              <w:spacing w:after="0" w:before="0"/>
              <w:ind w:hanging="0" w:left="0" w:right="0"/>
              <w:contextualSpacing w:val="false"/>
              <w:jc w:val="center"/>
            </w:pPr>
            <w:r>
              <w:rPr>
                <w:rFonts w:eastAsia="Times New Roman"/>
                <w:sz w:val="20"/>
                <w:szCs w:val="20"/>
              </w:rPr>
              <w:t>Решение  члена комиссии</w:t>
            </w:r>
          </w:p>
        </w:tc>
      </w:tr>
      <w:tr>
        <w:trPr>
          <w:cantSplit w:val="false"/>
        </w:trPr>
        <w:tc>
          <w:tcPr>
            <w:tcW w:type="dxa" w:w="2550"/>
            <w:vMerge w:val="restart"/>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EA-81976</w:t>
            </w:r>
          </w:p>
          <w:p>
            <w:pPr>
              <w:pStyle w:val="style42"/>
            </w:pPr>
            <w:r>
              <w:rPr>
                <w:sz w:val="20"/>
                <w:szCs w:val="20"/>
                <w:lang w:val="en-US"/>
              </w:rPr>
              <w:t>ФЕДЕРАЛЬНОЕ ГОСУДАРСТВЕННОЕ КАЗЕННОЕ УЧРЕЖДЕНИЕ "УПРАВЛЕНИЕ ВНЕВЕДОМСТВЕННОЙ ОХРАНЫ ВОЙСК НАЦИОНАЛЬНОЙ ГВАРДИИ РОССИЙСКОЙ ФЕДЕРАЦИИ ПО КУРСКОЙ ОБЛАСТИ"</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EA-81976</w:t>
            </w:r>
          </w:p>
          <w:p>
            <w:pPr>
              <w:pStyle w:val="style42"/>
            </w:pPr>
            <w:r>
              <w:rPr>
                <w:sz w:val="20"/>
                <w:szCs w:val="20"/>
                <w:lang w:val="en-US"/>
              </w:rPr>
              <w:t>ФЕДЕРАЛЬНОЕ ГОСУДАРСТВЕННОЕ КАЗЕННОЕ УЧРЕЖДЕНИЕ "УПРАВЛЕНИЕ ВНЕВЕДОМСТВЕННОЙ ОХРАНЫ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Анпилогов Вадим Валерьевич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EA-81976</w:t>
            </w:r>
          </w:p>
          <w:p>
            <w:pPr>
              <w:pStyle w:val="style42"/>
            </w:pPr>
            <w:r>
              <w:rPr>
                <w:sz w:val="20"/>
                <w:szCs w:val="20"/>
                <w:lang w:val="en-US"/>
              </w:rPr>
              <w:t>ФЕДЕРАЛЬНОЕ ГОСУДАРСТВЕННОЕ КАЗЕННОЕ УЧРЕЖДЕНИЕ "УПРАВЛЕНИЕ ВНЕВЕДОМСТВЕННОЙ ОХРАНЫ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Полянский Сергей Петрович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EA-81976</w:t>
            </w:r>
          </w:p>
          <w:p>
            <w:pPr>
              <w:pStyle w:val="style42"/>
            </w:pPr>
            <w:r>
              <w:rPr>
                <w:sz w:val="20"/>
                <w:szCs w:val="20"/>
                <w:lang w:val="en-US"/>
              </w:rPr>
              <w:t>ФЕДЕРАЛЬНОЕ ГОСУДАРСТВЕННОЕ КАЗЕННОЕ УЧРЕЖДЕНИЕ "УПРАВЛЕНИЕ ВНЕВЕДОМСТВЕННОЙ ОХРАНЫ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Федосов Вячеслав Иянович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trHeight w:hRule="atLeast" w:val="633"/>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EA-81976</w:t>
            </w:r>
          </w:p>
          <w:p>
            <w:pPr>
              <w:pStyle w:val="style42"/>
            </w:pPr>
            <w:r>
              <w:rPr>
                <w:sz w:val="20"/>
                <w:szCs w:val="20"/>
                <w:lang w:val="en-US"/>
              </w:rPr>
              <w:t>ФЕДЕРАЛЬНОЕ ГОСУДАРСТВЕННОЕ КАЗЕННОЕ УЧРЕЖДЕНИЕ "УПРАВЛЕНИЕ ВНЕВЕДОМСТВЕННОЙ ОХРАНЫ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restart"/>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EA-80646</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EA-80646</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Анпилогов Вадим Валерьевич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EA-80646</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Полянский Сергей Петрович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EA-80646</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Федосов Вячеслав Иянович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EA-80646</w:t>
            </w:r>
          </w:p>
          <w:p>
            <w:pPr>
              <w:pStyle w:val="style42"/>
            </w:pPr>
            <w:r>
              <w:rPr>
                <w:sz w:val="20"/>
                <w:szCs w:val="20"/>
                <w:lang w:val="en-US"/>
              </w:rPr>
              <w:t>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restart"/>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EA-80807</w:t>
            </w:r>
          </w:p>
          <w:p>
            <w:pPr>
              <w:pStyle w:val="style42"/>
            </w:pPr>
            <w:r>
              <w:rPr>
                <w:sz w:val="20"/>
                <w:szCs w:val="20"/>
                <w:lang w:val="en-US"/>
              </w:rPr>
              <w:t>ОБЩЕСТВО С ОГРАНИЧЕННОЙ ОТВЕТСТВЕННОСТЬЮ "ЧАСТНАЯ ОХРАННАЯ ОРГАНИЗАЦИЯ "ГОСУДАРЬ"</w:t>
            </w:r>
          </w:p>
        </w:tc>
        <w:tc>
          <w:tcPr>
            <w:tcW w:type="dxa" w:w="2937"/>
            <w:vMerge w:val="restart"/>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Костина Анастасия Сергеевна</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EA-80807</w:t>
            </w:r>
          </w:p>
          <w:p>
            <w:pPr>
              <w:pStyle w:val="style42"/>
            </w:pPr>
            <w:r>
              <w:rPr>
                <w:sz w:val="20"/>
                <w:szCs w:val="20"/>
                <w:lang w:val="en-US"/>
              </w:rPr>
              <w:t>ОБЩЕСТВО С ОГРАНИЧЕННОЙ ОТВЕТСТВЕННОСТЬЮ "ЧАСТНАЯ ОХРАННАЯ ОРГАНИЗАЦИЯ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Анпилогов Вадим Валерьевич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EA-80807</w:t>
            </w:r>
          </w:p>
          <w:p>
            <w:pPr>
              <w:pStyle w:val="style42"/>
            </w:pPr>
            <w:r>
              <w:rPr>
                <w:sz w:val="20"/>
                <w:szCs w:val="20"/>
                <w:lang w:val="en-US"/>
              </w:rPr>
              <w:t>ОБЩЕСТВО С ОГРАНИЧЕННОЙ ОТВЕТСТВЕННОСТЬЮ "ЧАСТНАЯ ОХРАННАЯ ОРГАНИЗАЦИЯ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Полянский Сергей Петрович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EA-80807</w:t>
            </w:r>
          </w:p>
          <w:p>
            <w:pPr>
              <w:pStyle w:val="style42"/>
            </w:pPr>
            <w:r>
              <w:rPr>
                <w:sz w:val="20"/>
                <w:szCs w:val="20"/>
                <w:lang w:val="en-US"/>
              </w:rPr>
              <w:t>ОБЩЕСТВО С ОГРАНИЧЕННОЙ ОТВЕТСТВЕННОСТЬЮ "ЧАСТНАЯ ОХРАННАЯ ОРГАНИЗАЦИЯ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Федосов Вячеслав Иянович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r>
        <w:trPr>
          <w:cantSplit w:val="false"/>
        </w:trPr>
        <w:tc>
          <w:tcPr>
            <w:tcW w:type="dxa" w:w="2550"/>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EA-80807</w:t>
            </w:r>
          </w:p>
          <w:p>
            <w:pPr>
              <w:pStyle w:val="style42"/>
            </w:pPr>
            <w:r>
              <w:rPr>
                <w:sz w:val="20"/>
                <w:szCs w:val="20"/>
                <w:lang w:val="en-US"/>
              </w:rPr>
              <w:t>ОБЩЕСТВО С ОГРАНИЧЕННОЙ ОТВЕТСТВЕННОСТЬЮ "ЧАСТНАЯ ОХРАННАЯ ОРГАНИЗАЦИЯ "ГОСУДАРЬ"</w:t>
            </w:r>
          </w:p>
        </w:tc>
        <w:tc>
          <w:tcPr>
            <w:tcW w:type="dxa" w:w="2937"/>
            <w:vMerge w:val="continue"/>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rFonts w:cs="Times New Roman" w:eastAsia="Times New Roman"/>
                <w:color w:val="00000A"/>
                <w:sz w:val="20"/>
                <w:szCs w:val="20"/>
                <w:lang w:bidi="ar-SA" w:eastAsia="ru-RU" w:val="en-US"/>
              </w:rPr>
              <w:t>Соответствует</w:t>
            </w:r>
          </w:p>
          <w:p>
            <w:pPr>
              <w:pStyle w:val="style42"/>
            </w:pPr>
            <w:r>
              <w:rPr/>
            </w:r>
          </w:p>
          <w:p>
            <w:pPr>
              <w:pStyle w:val="style42"/>
            </w:pPr>
            <w:r>
              <w:rPr>
                <w:rFonts w:cs="Times New Roman" w:eastAsia="Times New Roman"/>
                <w:color w:val="00000A"/>
                <w:sz w:val="20"/>
                <w:szCs w:val="20"/>
                <w:lang w:bidi="ar-SA" w:eastAsia="ru-RU" w:val="en-US"/>
              </w:rPr>
              <w:t>-</w:t>
            </w:r>
          </w:p>
        </w:tc>
        <w:tc>
          <w:tcPr>
            <w:tcW w:type="dxa" w:w="2748"/>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Ходосов Максим Андреевич</w:t>
            </w:r>
          </w:p>
        </w:tc>
        <w:tc>
          <w:tcPr>
            <w:tcW w:type="dxa" w:w="1740"/>
            <w:tcBorders>
              <w:top w:color="000001" w:space="0" w:sz="2" w:val="single"/>
              <w:left w:color="000001" w:space="0" w:sz="2" w:val="single"/>
              <w:bottom w:color="000001" w:space="0" w:sz="2" w:val="single"/>
              <w:right w:color="000001" w:space="0" w:sz="2" w:val="single"/>
            </w:tcBorders>
            <w:shd w:fill="FFFFFF" w:val="clear"/>
            <w:tcMar>
              <w:left w:type="dxa" w:w="52"/>
            </w:tcMar>
          </w:tcPr>
          <w:p>
            <w:pPr>
              <w:pStyle w:val="style42"/>
            </w:pPr>
            <w:r>
              <w:rPr>
                <w:sz w:val="20"/>
                <w:szCs w:val="20"/>
                <w:lang w:val="en-US"/>
              </w:rPr>
              <w:t>Соответствует</w:t>
            </w:r>
          </w:p>
        </w:tc>
      </w:tr>
    </w:tbl>
    <w:p>
      <w:pPr>
        <w:pStyle w:val="style0"/>
      </w:pPr>
      <w:r>
        <w:rPr/>
      </w:r>
    </w:p>
    <w:p>
      <w:pPr>
        <w:pStyle w:val="style0"/>
        <w:jc w:val="both"/>
      </w:pPr>
      <w:r>
        <w:rPr>
          <w:rFonts w:eastAsia="Times New Roman"/>
          <w:sz w:val="20"/>
          <w:szCs w:val="20"/>
        </w:rPr>
        <w:t>В результате рассмотрения вторых частей заявок победителем электронного аукциона признается 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 предложивший цену контракта 35 712,00 руб.</w:t>
      </w:r>
    </w:p>
    <w:p>
      <w:pPr>
        <w:pStyle w:val="style0"/>
        <w:jc w:val="both"/>
      </w:pPr>
      <w:r>
        <w:rPr/>
      </w:r>
    </w:p>
    <w:p>
      <w:pPr>
        <w:pStyle w:val="style0"/>
        <w:jc w:val="both"/>
      </w:pPr>
      <w:r>
        <w:rPr>
          <w:rFonts w:eastAsia="Times New Roman"/>
          <w:sz w:val="20"/>
          <w:szCs w:val="20"/>
        </w:rPr>
        <w:t>На основании рассмотрения вторых частей заявок на участие в электронном аукционе, а также в соответствии с ч. 10 ст. 69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ФИЛИАЛ ФЕДЕРАЛЬНОГО ГОСУДАРСТВЕННОГО УНИТАРНОГО ПРЕДПРИЯТИЯ "ОХРАНА" ФЕДЕРАЛЬНОЙ СЛУЖБЫ ВОЙСК НАЦИОНАЛЬНОЙ ГВАРДИИ РОССИЙСКОЙ ФЕДЕРАЦИИ ПО КУРСКОЙ ОБЛАСТИ,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style0"/>
        <w:jc w:val="both"/>
      </w:pPr>
      <w:r>
        <w:rPr/>
      </w:r>
    </w:p>
    <w:p>
      <w:pPr>
        <w:pStyle w:val="style0"/>
        <w:jc w:val="both"/>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style0"/>
        <w:jc w:val="both"/>
      </w:pPr>
      <w:r>
        <w:rPr/>
      </w:r>
    </w:p>
    <w:p>
      <w:pPr>
        <w:pStyle w:val="style0"/>
      </w:pPr>
      <w:r>
        <w:rPr>
          <w:rFonts w:eastAsia="Times New Roman"/>
          <w:sz w:val="20"/>
          <w:szCs w:val="20"/>
        </w:rPr>
        <w:t>Подписи</w:t>
      </w:r>
    </w:p>
    <w:tbl>
      <w:tblPr>
        <w:jc w:val="left"/>
        <w:tblInd w:type="dxa" w:w="-55"/>
        <w:tblBorders>
          <w:top w:val="none"/>
          <w:left w:val="none"/>
          <w:bottom w:val="none"/>
          <w:insideH w:val="none"/>
          <w:right w:val="none"/>
          <w:insideV w:val="none"/>
        </w:tblBorders>
        <w:tblCellMar>
          <w:top w:type="dxa" w:w="55"/>
          <w:left w:type="dxa" w:w="55"/>
          <w:bottom w:type="dxa" w:w="55"/>
          <w:right w:type="dxa" w:w="55"/>
        </w:tblCellMar>
      </w:tblPr>
      <w:tblGrid>
        <w:gridCol w:w="3307"/>
        <w:gridCol w:w="3301"/>
        <w:gridCol w:w="3314"/>
      </w:tblGrid>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Зам. председателя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r>
          </w:p>
        </w:tc>
        <w:tc>
          <w:tcPr>
            <w:tcW w:type="dxa" w:w="3314"/>
            <w:tcBorders>
              <w:top w:val="none"/>
              <w:left w:val="none"/>
              <w:bottom w:val="none"/>
              <w:right w:val="none"/>
            </w:tcBorders>
            <w:shd w:fill="FFFFFF" w:val="clear"/>
            <w:vAlign w:val="bottom"/>
          </w:tcPr>
          <w:p>
            <w:pPr>
              <w:pStyle w:val="style42"/>
            </w:pPr>
            <w:r>
              <w:rPr>
                <w:sz w:val="20"/>
                <w:szCs w:val="20"/>
                <w:lang w:val="en-US"/>
              </w:rPr>
              <w:t>Костина Анастасия Сергеевна</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r>
          </w:p>
        </w:tc>
        <w:tc>
          <w:tcPr>
            <w:tcW w:type="dxa" w:w="3314"/>
            <w:tcBorders>
              <w:top w:val="none"/>
              <w:left w:val="none"/>
              <w:bottom w:val="none"/>
              <w:right w:val="none"/>
            </w:tcBorders>
            <w:shd w:fill="FFFFFF" w:val="clear"/>
            <w:vAlign w:val="bottom"/>
          </w:tcPr>
          <w:p>
            <w:pPr>
              <w:pStyle w:val="style42"/>
            </w:pPr>
            <w:r>
              <w:rPr>
                <w:sz w:val="20"/>
                <w:szCs w:val="20"/>
                <w:lang w:val="en-US"/>
              </w:rPr>
              <w:t>Анпилогов Вадим Валерьевич</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r>
          </w:p>
        </w:tc>
        <w:tc>
          <w:tcPr>
            <w:tcW w:type="dxa" w:w="3314"/>
            <w:tcBorders>
              <w:top w:val="none"/>
              <w:left w:val="none"/>
              <w:bottom w:val="none"/>
              <w:right w:val="none"/>
            </w:tcBorders>
            <w:shd w:fill="FFFFFF" w:val="clear"/>
            <w:vAlign w:val="bottom"/>
          </w:tcPr>
          <w:p>
            <w:pPr>
              <w:pStyle w:val="style42"/>
            </w:pPr>
            <w:r>
              <w:rPr>
                <w:sz w:val="20"/>
                <w:szCs w:val="20"/>
                <w:lang w:val="en-US"/>
              </w:rPr>
              <w:t>Полянский Сергей Петрович</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Член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r>
          </w:p>
        </w:tc>
        <w:tc>
          <w:tcPr>
            <w:tcW w:type="dxa" w:w="3314"/>
            <w:tcBorders>
              <w:top w:val="none"/>
              <w:left w:val="none"/>
              <w:bottom w:val="none"/>
              <w:right w:val="none"/>
            </w:tcBorders>
            <w:shd w:fill="FFFFFF" w:val="clear"/>
            <w:vAlign w:val="bottom"/>
          </w:tcPr>
          <w:p>
            <w:pPr>
              <w:pStyle w:val="style42"/>
            </w:pPr>
            <w:r>
              <w:rPr>
                <w:sz w:val="20"/>
                <w:szCs w:val="20"/>
                <w:lang w:val="en-US"/>
              </w:rPr>
              <w:t>Федосов Вячеслав Иянович</w:t>
            </w:r>
          </w:p>
        </w:tc>
      </w:tr>
      <w:tr>
        <w:trPr>
          <w:cantSplit w:val="false"/>
        </w:trPr>
        <w:tc>
          <w:tcPr>
            <w:tcW w:type="dxa" w:w="3307"/>
            <w:tcBorders>
              <w:top w:val="none"/>
              <w:left w:val="none"/>
              <w:bottom w:val="none"/>
              <w:right w:val="none"/>
            </w:tcBorders>
            <w:shd w:fill="FFFFFF" w:val="clear"/>
            <w:vAlign w:val="bottom"/>
          </w:tcPr>
          <w:p>
            <w:pPr>
              <w:pStyle w:val="style42"/>
            </w:pPr>
            <w:r>
              <w:rPr>
                <w:rFonts w:eastAsia="Times New Roman"/>
                <w:sz w:val="20"/>
                <w:szCs w:val="20"/>
                <w:lang w:val="en-US"/>
              </w:rPr>
              <w:t>Секретарь комиссии</w:t>
            </w:r>
          </w:p>
        </w:tc>
        <w:tc>
          <w:tcPr>
            <w:tcW w:type="dxa" w:w="3301"/>
            <w:tcBorders>
              <w:top w:val="none"/>
              <w:left w:val="none"/>
              <w:bottom w:val="none"/>
              <w:right w:val="none"/>
            </w:tcBorders>
            <w:shd w:fill="FFFFFF" w:val="clear"/>
          </w:tcPr>
          <w:p>
            <w:pPr>
              <w:pStyle w:val="style42"/>
              <w:pBdr>
                <w:top w:val="none"/>
                <w:left w:val="none"/>
                <w:bottom w:color="000001" w:space="0" w:sz="8" w:val="single"/>
                <w:insideH w:color="000001" w:space="0" w:sz="8" w:val="single"/>
                <w:right w:val="none"/>
                <w:insideV w:val="none"/>
              </w:pBdr>
            </w:pPr>
            <w:r>
              <w:rPr/>
            </w:r>
          </w:p>
        </w:tc>
        <w:tc>
          <w:tcPr>
            <w:tcW w:type="dxa" w:w="3314"/>
            <w:tcBorders>
              <w:top w:val="none"/>
              <w:left w:val="none"/>
              <w:bottom w:val="none"/>
              <w:right w:val="none"/>
            </w:tcBorders>
            <w:shd w:fill="FFFFFF" w:val="clear"/>
            <w:vAlign w:val="bottom"/>
          </w:tcPr>
          <w:p>
            <w:pPr>
              <w:pStyle w:val="style42"/>
            </w:pPr>
            <w:r>
              <w:rPr>
                <w:sz w:val="20"/>
                <w:szCs w:val="20"/>
                <w:lang w:val="en-US"/>
              </w:rPr>
              <w:t>Ходосов Максим Андреевич</w:t>
            </w:r>
          </w:p>
        </w:tc>
      </w:tr>
    </w:tbl>
    <w:sectPr>
      <w:type w:val="nextPage"/>
      <w:pgSz w:h="16838" w:w="11906"/>
      <w:pgMar w:bottom="1134" w:footer="0" w:gutter="0" w:header="0" w:left="1418" w:right="566" w:top="1134"/>
      <w:pgNumType w:fmt="decimal"/>
      <w:formProt w:val="false"/>
      <w:textDirection w:val="lrTb"/>
      <w:docGrid w:charSpace="0"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settings>
</file>

<file path=word/styles.xml><?xml version="1.0" encoding="utf-8"?>
<w:styles xmlns:w="http://schemas.openxmlformats.org/wordprocessingml/2006/main">
  <w:style w:styleId="style0" w:type="paragraph">
    <w:name w:val="Базовый"/>
    <w:next w:val="style0"/>
    <w:pPr>
      <w:widowControl/>
      <w:suppressAutoHyphens w:val="true"/>
      <w:spacing w:after="0" w:before="0"/>
      <w:contextualSpacing w:val="false"/>
      <w:jc w:val="left"/>
    </w:pPr>
    <w:rPr>
      <w:rFonts w:ascii="Times New Roman" w:cs="" w:eastAsia="" w:hAnsi="Times New Roman"/>
      <w:color w:val="00000A"/>
      <w:sz w:val="24"/>
      <w:szCs w:val="24"/>
      <w:lang w:bidi="ar-SA" w:eastAsia="ru-RU" w:val="ru-RU"/>
    </w:rPr>
  </w:style>
  <w:style w:styleId="style15" w:type="character">
    <w:name w:val="Default Paragraph Font"/>
    <w:next w:val="style15"/>
    <w:rPr/>
  </w:style>
  <w:style w:styleId="style16" w:type="character">
    <w:name w:val="annotation reference"/>
    <w:basedOn w:val="style15"/>
    <w:next w:val="style16"/>
    <w:rPr>
      <w:sz w:val="16"/>
      <w:szCs w:val="16"/>
    </w:rPr>
  </w:style>
  <w:style w:styleId="style17" w:type="character">
    <w:name w:val="Текст примечания Знак"/>
    <w:basedOn w:val="style15"/>
    <w:next w:val="style17"/>
    <w:rPr>
      <w:rFonts w:cs="" w:eastAsia=""/>
    </w:rPr>
  </w:style>
  <w:style w:styleId="style18" w:type="character">
    <w:name w:val="Тема примечания Знак"/>
    <w:basedOn w:val="style17"/>
    <w:next w:val="style18"/>
    <w:rPr>
      <w:rFonts w:cs="" w:eastAsia=""/>
      <w:b/>
      <w:bCs/>
    </w:rPr>
  </w:style>
  <w:style w:styleId="style19" w:type="character">
    <w:name w:val="Текст выноски Знак"/>
    <w:basedOn w:val="style15"/>
    <w:next w:val="style19"/>
    <w:rPr>
      <w:rFonts w:ascii="Segoe UI" w:cs="" w:eastAsia="" w:hAnsi="Segoe UI"/>
      <w:sz w:val="18"/>
      <w:szCs w:val="18"/>
    </w:rPr>
  </w:style>
  <w:style w:styleId="style20" w:type="paragraph">
    <w:name w:val="Заголовок"/>
    <w:basedOn w:val="style0"/>
    <w:next w:val="style21"/>
    <w:pPr>
      <w:keepNext/>
      <w:spacing w:after="120" w:before="240"/>
      <w:contextualSpacing w:val="false"/>
    </w:pPr>
    <w:rPr>
      <w:rFonts w:ascii="Liberation Sans" w:cs="Arial Unicode MS" w:eastAsia="Microsoft YaHei" w:hAnsi="Liberation Sans"/>
      <w:sz w:val="28"/>
      <w:szCs w:val="28"/>
    </w:rPr>
  </w:style>
  <w:style w:styleId="style21" w:type="paragraph">
    <w:name w:val="Основной текст"/>
    <w:basedOn w:val="style0"/>
    <w:next w:val="style21"/>
    <w:pPr>
      <w:spacing w:after="140" w:before="0" w:line="288" w:lineRule="auto"/>
      <w:contextualSpacing w:val="false"/>
    </w:pPr>
    <w:rPr/>
  </w:style>
  <w:style w:styleId="style22" w:type="paragraph">
    <w:name w:val="Список"/>
    <w:basedOn w:val="style21"/>
    <w:next w:val="style22"/>
    <w:pPr/>
    <w:rPr>
      <w:rFonts w:cs="Noto Sans Devanagari"/>
    </w:rPr>
  </w:style>
  <w:style w:styleId="style23" w:type="paragraph">
    <w:name w:val="Название"/>
    <w:basedOn w:val="style0"/>
    <w:next w:val="style23"/>
    <w:pPr>
      <w:suppressLineNumbers/>
      <w:spacing w:after="120" w:before="120"/>
      <w:contextualSpacing w:val="false"/>
    </w:pPr>
    <w:rPr>
      <w:rFonts w:cs="Arial Unicode MS"/>
      <w:i/>
      <w:iCs/>
      <w:sz w:val="24"/>
      <w:szCs w:val="24"/>
    </w:rPr>
  </w:style>
  <w:style w:styleId="style24" w:type="paragraph">
    <w:name w:val="Указатель"/>
    <w:basedOn w:val="style0"/>
    <w:next w:val="style24"/>
    <w:pPr>
      <w:suppressLineNumbers/>
    </w:pPr>
    <w:rPr>
      <w:rFonts w:cs="Arial Unicode MS"/>
    </w:rPr>
  </w:style>
  <w:style w:styleId="style25" w:type="paragraph">
    <w:name w:val="Заглавие"/>
    <w:basedOn w:val="style0"/>
    <w:next w:val="style25"/>
    <w:pPr>
      <w:keepNext/>
      <w:spacing w:after="120" w:before="240"/>
      <w:contextualSpacing w:val="false"/>
    </w:pPr>
    <w:rPr>
      <w:rFonts w:ascii="Liberation Sans" w:cs="Noto Sans Devanagari" w:eastAsia="Noto Sans CJK SC Regular" w:hAnsi="Liberation Sans"/>
      <w:sz w:val="28"/>
      <w:szCs w:val="28"/>
    </w:rPr>
  </w:style>
  <w:style w:styleId="style26" w:type="paragraph">
    <w:name w:val="caption"/>
    <w:basedOn w:val="style0"/>
    <w:next w:val="style26"/>
    <w:pPr>
      <w:suppressLineNumbers/>
      <w:spacing w:after="120" w:before="120"/>
      <w:contextualSpacing w:val="false"/>
    </w:pPr>
    <w:rPr>
      <w:rFonts w:cs="Noto Sans Devanagari"/>
      <w:i/>
      <w:iCs/>
    </w:rPr>
  </w:style>
  <w:style w:styleId="style27" w:type="paragraph">
    <w:name w:val="index heading"/>
    <w:basedOn w:val="style0"/>
    <w:next w:val="style27"/>
    <w:pPr>
      <w:suppressLineNumbers/>
    </w:pPr>
    <w:rPr>
      <w:rFonts w:cs="Noto Sans Devanagari"/>
    </w:rPr>
  </w:style>
  <w:style w:styleId="style28" w:type="paragraph">
    <w:name w:val="dt"/>
    <w:basedOn w:val="style0"/>
    <w:next w:val="style28"/>
    <w:pPr>
      <w:spacing w:after="28" w:before="28"/>
      <w:contextualSpacing w:val="false"/>
    </w:pPr>
    <w:rPr/>
  </w:style>
  <w:style w:styleId="style29" w:type="paragraph">
    <w:name w:val="th"/>
    <w:basedOn w:val="style0"/>
    <w:next w:val="style29"/>
    <w:pPr>
      <w:shd w:fill="EEEEEE" w:val="clear"/>
      <w:spacing w:after="28" w:before="28"/>
      <w:contextualSpacing w:val="false"/>
    </w:pPr>
    <w:rPr/>
  </w:style>
  <w:style w:styleId="style30" w:type="paragraph">
    <w:name w:val="fr"/>
    <w:basedOn w:val="style0"/>
    <w:next w:val="style30"/>
    <w:pPr>
      <w:spacing w:after="28" w:before="28"/>
      <w:contextualSpacing w:val="false"/>
    </w:pPr>
    <w:rPr/>
  </w:style>
  <w:style w:styleId="style31" w:type="paragraph">
    <w:name w:val="headingcenter1"/>
    <w:basedOn w:val="style0"/>
    <w:next w:val="style31"/>
    <w:pPr>
      <w:spacing w:after="28" w:before="28"/>
      <w:contextualSpacing w:val="false"/>
      <w:jc w:val="center"/>
    </w:pPr>
    <w:rPr>
      <w:b/>
      <w:bCs/>
      <w:sz w:val="28"/>
      <w:szCs w:val="28"/>
    </w:rPr>
  </w:style>
  <w:style w:styleId="style32" w:type="paragraph">
    <w:name w:val="usual1"/>
    <w:basedOn w:val="style0"/>
    <w:next w:val="style32"/>
    <w:pPr>
      <w:spacing w:after="200" w:before="28"/>
      <w:contextualSpacing w:val="false"/>
    </w:pPr>
    <w:rPr/>
  </w:style>
  <w:style w:styleId="style33" w:type="paragraph">
    <w:name w:val="usual2"/>
    <w:basedOn w:val="style0"/>
    <w:next w:val="style33"/>
    <w:pPr>
      <w:spacing w:after="200" w:before="28"/>
      <w:ind w:hanging="0" w:left="460" w:right="0"/>
      <w:contextualSpacing w:val="false"/>
    </w:pPr>
    <w:rPr/>
  </w:style>
  <w:style w:styleId="style34" w:type="paragraph">
    <w:name w:val="margleft1"/>
    <w:basedOn w:val="style0"/>
    <w:next w:val="style34"/>
    <w:pPr>
      <w:spacing w:after="28" w:before="28"/>
      <w:contextualSpacing w:val="false"/>
    </w:pPr>
    <w:rPr/>
  </w:style>
  <w:style w:styleId="style35" w:type="paragraph">
    <w:name w:val="commissiontable"/>
    <w:basedOn w:val="style0"/>
    <w:next w:val="style35"/>
    <w:pPr>
      <w:spacing w:after="28" w:before="28"/>
      <w:contextualSpacing w:val="false"/>
    </w:pPr>
    <w:rPr/>
  </w:style>
  <w:style w:styleId="style36" w:type="paragraph">
    <w:name w:val="requests"/>
    <w:basedOn w:val="style0"/>
    <w:next w:val="style36"/>
    <w:pPr>
      <w:spacing w:after="28" w:before="28"/>
      <w:ind w:hanging="0" w:left="460" w:right="0"/>
      <w:contextualSpacing w:val="false"/>
    </w:pPr>
    <w:rPr/>
  </w:style>
  <w:style w:styleId="style37" w:type="paragraph">
    <w:name w:val="margtab1"/>
    <w:basedOn w:val="style0"/>
    <w:next w:val="style37"/>
    <w:pPr>
      <w:spacing w:after="28" w:before="28"/>
      <w:ind w:hanging="0" w:left="460" w:right="0"/>
      <w:contextualSpacing w:val="false"/>
    </w:pPr>
    <w:rPr/>
  </w:style>
  <w:style w:styleId="style38" w:type="paragraph">
    <w:name w:val="annotation text"/>
    <w:basedOn w:val="style0"/>
    <w:next w:val="style38"/>
    <w:pPr/>
    <w:rPr>
      <w:sz w:val="20"/>
      <w:szCs w:val="20"/>
    </w:rPr>
  </w:style>
  <w:style w:styleId="style39" w:type="paragraph">
    <w:name w:val="annotation subject"/>
    <w:basedOn w:val="style38"/>
    <w:next w:val="style39"/>
    <w:pPr/>
    <w:rPr>
      <w:b/>
      <w:bCs/>
    </w:rPr>
  </w:style>
  <w:style w:styleId="style40" w:type="paragraph">
    <w:name w:val="Balloon Text"/>
    <w:basedOn w:val="style0"/>
    <w:next w:val="style40"/>
    <w:pPr/>
    <w:rPr>
      <w:rFonts w:ascii="Segoe UI" w:cs="Segoe UI" w:hAnsi="Segoe UI"/>
      <w:sz w:val="18"/>
      <w:szCs w:val="18"/>
    </w:rPr>
  </w:style>
  <w:style w:styleId="style41" w:type="paragraph">
    <w:name w:val="Normal (Web)"/>
    <w:basedOn w:val="style0"/>
    <w:next w:val="style41"/>
    <w:pPr>
      <w:spacing w:after="28" w:before="28"/>
      <w:contextualSpacing w:val="false"/>
    </w:pPr>
    <w:rPr>
      <w:rFonts w:eastAsia="Times New Roman"/>
    </w:rPr>
  </w:style>
  <w:style w:styleId="style42" w:type="paragraph">
    <w:name w:val="Содержимое таблицы"/>
    <w:basedOn w:val="style0"/>
    <w:next w:val="style42"/>
    <w:pPr/>
    <w:rPr/>
  </w:style>
  <w:style w:styleId="style43" w:type="paragraph">
    <w:name w:val="Заголовок таблицы"/>
    <w:basedOn w:val="style42"/>
    <w:next w:val="style43"/>
    <w:pPr/>
    <w:rPr/>
  </w:style>
  <w:style w:styleId="style44" w:type="paragraph">
    <w:name w:val="DocumentMap"/>
    <w:next w:val="style44"/>
    <w:pPr>
      <w:widowControl/>
      <w:suppressAutoHyphens w:val="true"/>
      <w:spacing w:after="0" w:before="0"/>
      <w:contextualSpacing w:val="false"/>
      <w:jc w:val="left"/>
    </w:pPr>
    <w:rPr>
      <w:rFonts w:ascii="Times New Roman" w:cs="Times New Roman" w:eastAsia="Times New Roman" w:hAnsi="Times New Roman"/>
      <w:color w:val="00000A"/>
      <w:sz w:val="24"/>
      <w:szCs w:val="20"/>
      <w:lang w:bidi="ar-SA" w:eastAsia="ru-RU" w:val="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31</TotalTime>
  <Application>LibreOffice/6.3.4.2$Windows_x86 LibreOffice_project/60da17e045e08f1793c57c00ba83cdfce946d0aa</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2020-01-20T14:42:00.00Z</dcterms:created>
  <dc:creator>Ларий Дарья Григорьевна</dc:creator>
  <dc:language>ru</dc:language>
  <dcterms:modified xsi:type="dcterms:W3CDTF">2020-12-28T17:33:08.00Z</dcterms:modified>
  <cp:revision>14</cp:revision>
</cp:coreProperties>
</file>