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реагентов для клинико-диагностической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0744200000221001944)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№</w:t>
      </w:r>
      <w:r>
        <w:rPr>
          <w:rFonts w:eastAsia="Times New Roman"/>
          <w:b/>
          <w:sz w:val="22"/>
          <w:szCs w:val="22"/>
        </w:rPr>
        <w:t>03.1-4/</w:t>
      </w:r>
      <w:r>
        <w:rPr>
          <w:rFonts w:eastAsia="Times New Roman"/>
          <w:b/>
          <w:sz w:val="22"/>
          <w:szCs w:val="22"/>
        </w:rPr>
        <w:t>1687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/>
          <w:b/>
          <w:sz w:val="22"/>
          <w:szCs w:val="22"/>
          <w:lang w:val="en-US"/>
        </w:rPr>
        <w:t>(Регистрационный номер №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 </w:t>
      </w:r>
      <w:r>
        <w:rPr>
          <w:rFonts w:eastAsia="Times New Roman"/>
          <w:b/>
          <w:bCs/>
          <w:color w:val="111111"/>
          <w:sz w:val="22"/>
          <w:szCs w:val="22"/>
          <w:highlight w:val="white"/>
          <w:lang w:val="en-US"/>
        </w:rPr>
        <w:t xml:space="preserve"> 09-05/24721)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 </w:t>
      </w: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  » апреля 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212462900045046320100100200040000244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231 660,50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126 416,97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126 416,97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602</Words>
  <Characters>4812</Characters>
  <CharactersWithSpaces>5269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2021-04-14T16:16:36Z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