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03-1-4/1735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МНН – ЭРИТРОМИЦИН" </w:t>
      </w:r>
    </w:p>
    <w:p>
      <w:pPr>
        <w:pStyle w:val="Normal"/>
        <w:keepNext w:val="true"/>
        <w:keepLines/>
        <w:widowControl w:val="false"/>
        <w:suppressLineNumbers/>
        <w:tabs>
          <w:tab w:val="clear" w:pos="367"/>
          <w:tab w:val="center" w:pos="4677" w:leader="none"/>
          <w:tab w:val="right" w:pos="10620" w:leader="none"/>
        </w:tabs>
        <w:spacing w:before="0" w:after="0"/>
        <w:ind w:right="-5" w:hanging="0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>Регистрационный номер 09-05/25252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16.04.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ЭРИТРОМИЦИН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212462902149046320100100460520000244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35 574,00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EA-87194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EA-87194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EA-87194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EA-87194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EA-87194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EA-87194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EA-87194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uto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  <w:r>
        <w:br w:type="page"/>
      </w:r>
    </w:p>
    <w:p>
      <w:pPr>
        <w:pStyle w:val="Normal"/>
        <w:spacing w:lineRule="auto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10249" w:type="dxa"/>
        <w:jc w:val="left"/>
        <w:tblInd w:w="-2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8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п.38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EA-87194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spacing w:lineRule="auto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ОТКРЫТОЕ АКЦИОНЕРНОЕ ОБЩЕСТВО "КУРСКАЯ ФАРМАЦИЯ".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553</Words>
  <Characters>4256</Characters>
  <CharactersWithSpaces>4715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2021-04-16T12:24:24Z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