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 </w:t>
      </w:r>
      <w:r>
        <w:rPr>
          <w:rFonts w:eastAsia="Times New Roman"/>
          <w:b/>
          <w:bCs/>
          <w:sz w:val="22"/>
          <w:szCs w:val="22"/>
        </w:rPr>
        <w:t>№03.4-4/3123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"Поставка продуктов питания (мука пшеничная общего назначения, макароны)"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0744200000221002521) 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 xml:space="preserve">рег.номер 09-05/ </w:t>
      </w:r>
      <w:r>
        <w:rPr>
          <w:rFonts w:cs="Times New Roman"/>
          <w:b/>
          <w:bCs/>
          <w:color w:val="000000"/>
          <w:sz w:val="22"/>
          <w:szCs w:val="22"/>
          <w:lang w:val="ru-RU"/>
        </w:rPr>
        <w:t>09-05/25498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27.04.21</w:t>
      </w:r>
    </w:p>
    <w:p>
      <w:pPr>
        <w:pStyle w:val="Normal"/>
        <w:ind w:hanging="0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(мука пшеничная общего назначения, макароны)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212461400093046140100100410010000244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73 558,00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68 232,21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EA-88880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68 600,00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68 232,21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497</Words>
  <Characters>3892</Characters>
  <CharactersWithSpaces>4279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2021-04-27T12:08:32Z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