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center"/>
        <w:rPr>
          <w:b/>
          <w:b/>
          <w:caps/>
          <w:color w:val="auto"/>
          <w:sz w:val="20"/>
          <w:szCs w:val="20"/>
        </w:rPr>
      </w:pPr>
      <w:r>
        <w:rPr>
          <w:b/>
          <w:bCs/>
          <w:sz w:val="24"/>
          <w:szCs w:val="24"/>
        </w:rPr>
        <w:t>Протокол № 03.3-4/</w:t>
      </w:r>
      <w:r>
        <w:rPr>
          <w:b/>
          <w:bCs/>
          <w:sz w:val="24"/>
          <w:szCs w:val="24"/>
          <w:lang w:val="ru-RU"/>
        </w:rPr>
        <w:t>1256</w:t>
      </w:r>
    </w:p>
    <w:p>
      <w:pPr>
        <w:pStyle w:val="Normal"/>
        <w:spacing w:before="0" w:after="0"/>
        <w:jc w:val="center"/>
        <w:rPr>
          <w:b/>
          <w:b/>
          <w:caps/>
          <w:color w:val="auto"/>
          <w:sz w:val="20"/>
          <w:szCs w:val="20"/>
        </w:rPr>
      </w:pPr>
      <w:r>
        <w:rPr/>
        <w:t xml:space="preserve">(№ извещения </w:t>
      </w:r>
      <w:r>
        <w:rPr>
          <w:b/>
          <w:caps/>
          <w:szCs w:val="24"/>
        </w:rPr>
        <w:t>0744200000221002562</w:t>
      </w:r>
      <w:r>
        <w:rPr/>
        <w:t>)</w:t>
      </w:r>
    </w:p>
    <w:p>
      <w:pPr>
        <w:pStyle w:val="Normal"/>
        <w:spacing w:before="0" w:after="0"/>
        <w:jc w:val="center"/>
        <w:rPr>
          <w:b/>
          <w:b/>
          <w:caps/>
          <w:color w:val="auto"/>
          <w:sz w:val="20"/>
          <w:szCs w:val="20"/>
        </w:rPr>
      </w:pPr>
      <w:r>
        <w:rPr>
          <w:b/>
          <w:caps/>
          <w:color w:val="auto"/>
          <w:sz w:val="20"/>
          <w:szCs w:val="20"/>
        </w:rPr>
      </w:r>
    </w:p>
    <w:p>
      <w:pPr>
        <w:pStyle w:val="Normal"/>
        <w:spacing w:before="0" w:after="0"/>
        <w:jc w:val="center"/>
        <w:rPr>
          <w:b/>
          <w:b/>
          <w:szCs w:val="24"/>
        </w:rPr>
      </w:pPr>
      <w:r>
        <w:rPr>
          <w:rStyle w:val="FontStyle17"/>
        </w:rPr>
        <w:t xml:space="preserve">подведения итогов аукциона в электронной форме </w:t>
      </w:r>
      <w:r>
        <w:rPr>
          <w:rFonts w:eastAsia="Calibri" w:eastAsiaTheme="minorHAnsi"/>
          <w:b/>
          <w:bCs/>
          <w:color w:val="000000"/>
          <w:szCs w:val="24"/>
        </w:rPr>
        <w:t>на право заключения контракта</w:t>
      </w:r>
      <w:r>
        <w:rPr>
          <w:b/>
          <w:bCs/>
          <w:szCs w:val="24"/>
        </w:rPr>
        <w:t xml:space="preserve"> </w:t>
      </w:r>
      <w:r>
        <w:rPr>
          <w:b/>
          <w:bCs/>
          <w:szCs w:val="24"/>
          <w:highlight w:val="white"/>
        </w:rPr>
        <w:t xml:space="preserve">с </w:t>
      </w:r>
      <w:r>
        <w:rPr>
          <w:rFonts w:eastAsia="NSimSun" w:cs="Times New Roman"/>
          <w:b/>
          <w:bCs/>
          <w:color w:val="000000"/>
          <w:kern w:val="0"/>
          <w:sz w:val="24"/>
          <w:szCs w:val="24"/>
          <w:highlight w:val="white"/>
          <w:lang w:val="ru-RU" w:eastAsia="zh-CN" w:bidi="ar-SA"/>
        </w:rPr>
        <w:t>областным бюджетным учреждением социального обслуживания ''Комплексный центр социального обслуживания населения Курского района Курской области'' на поставку персонального компьютера и ноутбука</w:t>
      </w:r>
      <w:r>
        <w:rPr>
          <w:rFonts w:cs="Times New Roman"/>
          <w:b/>
          <w:bCs/>
          <w:color w:val="000000"/>
          <w:sz w:val="24"/>
          <w:szCs w:val="24"/>
          <w:highlight w:val="white"/>
        </w:rPr>
        <w:t>.</w:t>
      </w:r>
    </w:p>
    <w:p>
      <w:pPr>
        <w:pStyle w:val="Normal"/>
        <w:spacing w:before="0" w:after="0"/>
        <w:jc w:val="center"/>
        <w:rPr>
          <w:b/>
          <w:b/>
          <w:szCs w:val="24"/>
        </w:rPr>
      </w:pPr>
      <w:r>
        <w:rPr>
          <w:b/>
          <w:szCs w:val="24"/>
        </w:rPr>
        <w:t xml:space="preserve">(регистрационный номер </w:t>
      </w:r>
      <w:r>
        <w:rPr>
          <w:b/>
          <w:bCs/>
          <w:szCs w:val="24"/>
        </w:rPr>
        <w:t>09-05/2</w:t>
      </w:r>
      <w:r>
        <w:rPr>
          <w:b/>
          <w:bCs/>
          <w:szCs w:val="24"/>
          <w:lang w:val="en-US"/>
        </w:rPr>
        <w:t>5158</w:t>
      </w:r>
      <w:r>
        <w:rPr>
          <w:b/>
          <w:szCs w:val="24"/>
        </w:rPr>
        <w:t>)</w:t>
      </w:r>
    </w:p>
    <w:p>
      <w:pPr>
        <w:pStyle w:val="Normal"/>
        <w:spacing w:before="0" w:after="0"/>
        <w:jc w:val="center"/>
        <w:rPr>
          <w:b/>
          <w:b/>
          <w:szCs w:val="24"/>
        </w:rPr>
      </w:pPr>
      <w:r>
        <w:rPr>
          <w:b/>
          <w:szCs w:val="24"/>
        </w:rPr>
      </w:r>
    </w:p>
    <w:p>
      <w:pPr>
        <w:pStyle w:val="Normal"/>
        <w:spacing w:before="0" w:after="0"/>
        <w:jc w:val="center"/>
        <w:rPr>
          <w:rFonts w:ascii="Tahoma" w:hAnsi="Tahoma" w:cs="Tahoma"/>
          <w:bCs/>
          <w:color w:val="000000"/>
          <w:szCs w:val="24"/>
        </w:rPr>
      </w:pPr>
      <w:r>
        <w:rPr>
          <w:rStyle w:val="FontStyle17"/>
          <w:rFonts w:eastAsia="Calibri" w:cs="Tahoma"/>
          <w:b w:val="false"/>
          <w:bCs w:val="false"/>
          <w:caps/>
          <w:color w:val="000000"/>
          <w:sz w:val="24"/>
          <w:szCs w:val="24"/>
          <w:highlight w:val="white"/>
        </w:rPr>
        <w:t>Идентификационный код закупки</w:t>
      </w:r>
      <w:r>
        <w:rPr>
          <w:rStyle w:val="FontStyle17"/>
          <w:rFonts w:eastAsia="Calibri" w:cs="Tahoma" w:ascii="Tahoma" w:hAnsi="Tahoma"/>
          <w:b/>
          <w:bCs/>
          <w:caps/>
          <w:color w:val="000000"/>
          <w:sz w:val="21"/>
          <w:szCs w:val="24"/>
          <w:highlight w:val="white"/>
        </w:rPr>
        <w:t xml:space="preserve">: </w:t>
      </w:r>
      <w:r>
        <w:rPr>
          <w:rStyle w:val="FontStyle17"/>
          <w:rFonts w:eastAsia="Calibri" w:cs="Tahoma" w:ascii="Tahoma" w:hAnsi="Tahoma"/>
          <w:b w:val="false"/>
          <w:bCs w:val="false"/>
          <w:caps/>
          <w:color w:val="000000"/>
          <w:szCs w:val="24"/>
          <w:highlight w:val="white"/>
        </w:rPr>
        <w:t>212461100561046320100100010012620244</w:t>
      </w:r>
    </w:p>
    <w:p>
      <w:pPr>
        <w:pStyle w:val="Normal"/>
        <w:tabs>
          <w:tab w:val="clear" w:pos="709"/>
          <w:tab w:val="left" w:pos="-1620" w:leader="none"/>
        </w:tabs>
        <w:spacing w:lineRule="auto" w:line="240" w:before="0" w:after="0"/>
        <w:ind w:firstLine="709"/>
        <w:jc w:val="center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widowControl/>
        <w:tabs>
          <w:tab w:val="clear" w:pos="709"/>
          <w:tab w:val="left" w:pos="-1620" w:leader="none"/>
        </w:tabs>
        <w:suppressAutoHyphens w:val="true"/>
        <w:bidi w:val="0"/>
        <w:spacing w:lineRule="auto" w:line="240" w:before="0" w:after="0"/>
        <w:ind w:left="0" w:right="0" w:hanging="0"/>
        <w:jc w:val="center"/>
        <w:rPr/>
      </w:pPr>
      <w:r>
        <w:rPr/>
        <w:t xml:space="preserve">г. Курск, ул. Красный октябрь, 21                                                         </w:t>
      </w:r>
      <w:bookmarkStart w:id="0" w:name="_GoBack"/>
      <w:bookmarkEnd w:id="0"/>
      <w:r>
        <w:rPr/>
        <w:t>«</w:t>
      </w:r>
      <w:r>
        <w:rPr>
          <w:lang w:val="en-US"/>
        </w:rPr>
        <w:t>28</w:t>
      </w:r>
      <w:r>
        <w:rPr/>
        <w:t xml:space="preserve">» </w:t>
      </w:r>
      <w:r>
        <w:rPr>
          <w:rFonts w:eastAsia="Arial" w:cs="Courier New"/>
          <w:color w:val="auto"/>
          <w:kern w:val="0"/>
          <w:sz w:val="24"/>
          <w:szCs w:val="24"/>
          <w:lang w:val="ru-RU" w:eastAsia="en-US" w:bidi="ar-SA"/>
        </w:rPr>
        <w:t>апреля</w:t>
      </w:r>
      <w:r>
        <w:rPr/>
        <w:t xml:space="preserve"> 2021 года</w:t>
      </w:r>
    </w:p>
    <w:p>
      <w:pPr>
        <w:pStyle w:val="Style26"/>
        <w:spacing w:beforeAutospacing="0" w:before="0" w:afterAutospacing="0" w:after="0"/>
        <w:jc w:val="center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</w:p>
    <w:p>
      <w:pPr>
        <w:pStyle w:val="BodyTextIndent2"/>
        <w:spacing w:lineRule="auto" w:line="240" w:before="0" w:after="0"/>
        <w:ind w:left="0" w:hanging="0"/>
        <w:jc w:val="both"/>
        <w:rPr/>
      </w:pPr>
      <w:r>
        <w:rPr/>
        <w:t>На заседании аукционной комиссии присутствовали:</w:t>
      </w:r>
    </w:p>
    <w:p>
      <w:pPr>
        <w:pStyle w:val="BodyTextIndent2"/>
        <w:spacing w:lineRule="auto" w:line="240" w:before="0" w:after="0"/>
        <w:ind w:left="0" w:hanging="0"/>
        <w:jc w:val="both"/>
        <w:rPr/>
      </w:pPr>
      <w:r>
        <w:rPr/>
      </w:r>
    </w:p>
    <w:tbl>
      <w:tblPr>
        <w:tblW w:w="9638" w:type="dxa"/>
        <w:jc w:val="left"/>
        <w:tblInd w:w="108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3119"/>
        <w:gridCol w:w="6518"/>
      </w:tblGrid>
      <w:tr>
        <w:trPr>
          <w:trHeight w:val="608" w:hRule="atLeast"/>
        </w:trPr>
        <w:tc>
          <w:tcPr>
            <w:tcW w:w="3119" w:type="dxa"/>
            <w:tcBorders/>
          </w:tcPr>
          <w:p>
            <w:pPr>
              <w:pStyle w:val="Normal"/>
              <w:spacing w:before="0" w:after="0"/>
              <w:rPr>
                <w:szCs w:val="24"/>
              </w:rPr>
            </w:pPr>
            <w:r>
              <w:rPr>
                <w:sz w:val="24"/>
                <w:szCs w:val="24"/>
              </w:rPr>
              <w:t>Резниченко Галина Ивановна</w:t>
            </w:r>
          </w:p>
        </w:tc>
        <w:tc>
          <w:tcPr>
            <w:tcW w:w="6518" w:type="dxa"/>
            <w:tcBorders/>
          </w:tcPr>
          <w:p>
            <w:pPr>
              <w:pStyle w:val="Normal"/>
              <w:spacing w:before="0" w:after="0"/>
              <w:jc w:val="both"/>
              <w:rPr>
                <w:szCs w:val="24"/>
                <w:highlight w:val="yellow"/>
              </w:rPr>
            </w:pPr>
            <w:r>
              <w:rPr>
                <w:sz w:val="24"/>
                <w:szCs w:val="24"/>
                <w:lang w:eastAsia="zh-CN"/>
              </w:rPr>
              <w:t>Заместитель директора областного казенного учреждения «Центр закупок Курской области», председатель комиссии</w:t>
            </w:r>
          </w:p>
        </w:tc>
      </w:tr>
      <w:tr>
        <w:trPr>
          <w:trHeight w:val="822" w:hRule="atLeast"/>
        </w:trPr>
        <w:tc>
          <w:tcPr>
            <w:tcW w:w="3119" w:type="dxa"/>
            <w:tcBorders/>
          </w:tcPr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 w:val="24"/>
                <w:szCs w:val="24"/>
                <w:lang w:eastAsia="zh-CN"/>
              </w:rPr>
              <w:t>Бекетова Наталия Алексеевна</w:t>
            </w:r>
          </w:p>
        </w:tc>
        <w:tc>
          <w:tcPr>
            <w:tcW w:w="6518" w:type="dxa"/>
            <w:tcBorders/>
          </w:tcPr>
          <w:p>
            <w:pPr>
              <w:pStyle w:val="Normal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4"/>
                <w:szCs w:val="24"/>
                <w:lang w:eastAsia="zh-CN"/>
              </w:rPr>
              <w:t>Начальник отдела закупок в сфере культуры и спорта областного казенного учреждения «Центр закупок Курской области», зам. председателя комиссии</w:t>
            </w:r>
          </w:p>
        </w:tc>
      </w:tr>
      <w:tr>
        <w:trPr>
          <w:trHeight w:val="862" w:hRule="atLeast"/>
        </w:trPr>
        <w:tc>
          <w:tcPr>
            <w:tcW w:w="3119" w:type="dxa"/>
            <w:tcBorders/>
          </w:tcPr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Иванников Михаил Иванович</w:t>
            </w:r>
          </w:p>
        </w:tc>
        <w:tc>
          <w:tcPr>
            <w:tcW w:w="6518" w:type="dxa"/>
            <w:tcBorders/>
          </w:tcPr>
          <w:p>
            <w:pPr>
              <w:pStyle w:val="Normal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консультант отдела закупок в сфере культуры и спорта областного казенного учреждения «Центр закупок Курской области», секретарь комиссии</w:t>
            </w:r>
          </w:p>
        </w:tc>
      </w:tr>
      <w:tr>
        <w:trPr>
          <w:trHeight w:val="701" w:hRule="atLeast"/>
        </w:trPr>
        <w:tc>
          <w:tcPr>
            <w:tcW w:w="3119" w:type="dxa"/>
            <w:tcBorders/>
          </w:tcPr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Cs w:val="24"/>
                <w:highlight w:val="white"/>
              </w:rPr>
              <w:t>Яворская Юлия Михайловна</w:t>
            </w:r>
          </w:p>
        </w:tc>
        <w:tc>
          <w:tcPr>
            <w:tcW w:w="6518" w:type="dxa"/>
            <w:tcBorders/>
          </w:tcPr>
          <w:p>
            <w:pPr>
              <w:pStyle w:val="Normal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Cs w:val="24"/>
                <w:highlight w:val="white"/>
                <w:lang w:eastAsia="zh-CN"/>
              </w:rPr>
              <w:t>Заместитель директора ОБУСО «КЦСОН Курского района», член комиссии</w:t>
            </w:r>
          </w:p>
        </w:tc>
      </w:tr>
      <w:tr>
        <w:trPr>
          <w:trHeight w:val="515" w:hRule="atLeast"/>
        </w:trPr>
        <w:tc>
          <w:tcPr>
            <w:tcW w:w="3119" w:type="dxa"/>
            <w:tcBorders/>
          </w:tcPr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Cs w:val="24"/>
                <w:highlight w:val="white"/>
              </w:rPr>
              <w:t>Титова Наталья Владимировна</w:t>
            </w:r>
          </w:p>
        </w:tc>
        <w:tc>
          <w:tcPr>
            <w:tcW w:w="6518" w:type="dxa"/>
            <w:tcBorders/>
          </w:tcPr>
          <w:p>
            <w:pPr>
              <w:pStyle w:val="Normal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Cs w:val="24"/>
                <w:highlight w:val="white"/>
                <w:lang w:eastAsia="zh-CN"/>
              </w:rPr>
              <w:t>Директор ОБУСО «КЦСОН Курского района», член комиссии</w:t>
            </w:r>
          </w:p>
        </w:tc>
      </w:tr>
      <w:tr>
        <w:trPr>
          <w:trHeight w:val="615" w:hRule="atLeast"/>
        </w:trPr>
        <w:tc>
          <w:tcPr>
            <w:tcW w:w="3119" w:type="dxa"/>
            <w:tcBorders/>
          </w:tcPr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Cs w:val="24"/>
                <w:highlight w:val="white"/>
              </w:rPr>
              <w:t>Зуева Олеся Владимировна</w:t>
            </w:r>
          </w:p>
        </w:tc>
        <w:tc>
          <w:tcPr>
            <w:tcW w:w="6518" w:type="dxa"/>
            <w:tcBorders/>
          </w:tcPr>
          <w:p>
            <w:pPr>
              <w:pStyle w:val="Normal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Cs w:val="24"/>
                <w:highlight w:val="white"/>
                <w:lang w:eastAsia="zh-CN"/>
              </w:rPr>
              <w:t>Заведующая организационно-методическим отделением ОБУСО «КЦСОН Курского района», член комиссии</w:t>
            </w:r>
            <w:bookmarkStart w:id="1" w:name="_GoBack2"/>
            <w:bookmarkEnd w:id="1"/>
          </w:p>
        </w:tc>
      </w:tr>
      <w:tr>
        <w:trPr>
          <w:trHeight w:val="615" w:hRule="atLeast"/>
        </w:trPr>
        <w:tc>
          <w:tcPr>
            <w:tcW w:w="3119" w:type="dxa"/>
            <w:tcBorders/>
          </w:tcPr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Cs w:val="24"/>
              </w:rPr>
              <w:t>Сасина Елена Юрьевна</w:t>
            </w:r>
          </w:p>
        </w:tc>
        <w:tc>
          <w:tcPr>
            <w:tcW w:w="6518" w:type="dxa"/>
            <w:tcBorders/>
          </w:tcPr>
          <w:p>
            <w:pPr>
              <w:pStyle w:val="Normal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Cs w:val="24"/>
                <w:highlight w:val="white"/>
                <w:lang w:eastAsia="zh-CN"/>
              </w:rPr>
              <w:t>Экономист ОБУСО «КЦСОН Курского района», член комиссии</w:t>
            </w:r>
          </w:p>
        </w:tc>
      </w:tr>
    </w:tbl>
    <w:p>
      <w:pPr>
        <w:pStyle w:val="BodyTextIndent2"/>
        <w:spacing w:lineRule="auto" w:line="240" w:before="0" w:after="0"/>
        <w:ind w:left="0" w:firstLine="708"/>
        <w:jc w:val="both"/>
        <w:rPr/>
      </w:pPr>
      <w:r>
        <w:rPr/>
      </w:r>
    </w:p>
    <w:p>
      <w:pPr>
        <w:pStyle w:val="BodyTextIndent2"/>
        <w:spacing w:lineRule="auto" w:line="240" w:before="0" w:after="0"/>
        <w:ind w:left="0" w:firstLine="709"/>
        <w:jc w:val="both"/>
        <w:rPr/>
      </w:pPr>
      <w:r>
        <w:rPr/>
        <w:t>На заседании аукционной комиссии присутствовали 7 членов комиссии. Комиссия правомочна принимать решения.</w:t>
      </w:r>
    </w:p>
    <w:p>
      <w:pPr>
        <w:pStyle w:val="ConsPlusNormal1"/>
        <w:widowControl/>
        <w:tabs>
          <w:tab w:val="clear" w:pos="709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</w:r>
    </w:p>
    <w:p>
      <w:pPr>
        <w:pStyle w:val="ConsPlusNormal1"/>
        <w:widowControl/>
        <w:tabs>
          <w:tab w:val="clear" w:pos="709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Наименование объекта закупки</w:t>
      </w:r>
    </w:p>
    <w:p>
      <w:pPr>
        <w:pStyle w:val="ConsPlusNormal1"/>
        <w:keepNext w:val="true"/>
        <w:keepLines/>
        <w:widowControl/>
        <w:suppressLineNumbers/>
        <w:tabs>
          <w:tab w:val="clear" w:pos="709"/>
          <w:tab w:val="left" w:pos="360" w:leader="none"/>
        </w:tabs>
        <w:ind w:hanging="0"/>
        <w:jc w:val="both"/>
        <w:rPr>
          <w:rFonts w:ascii="Times New Roman" w:hAnsi="Times New Roman" w:cs="Times New Roman"/>
          <w:bCs/>
          <w:color w:val="000000"/>
          <w:szCs w:val="24"/>
        </w:rPr>
      </w:pPr>
      <w:r>
        <w:rPr>
          <w:rFonts w:eastAsia="Calibri" w:cs="Times New Roman" w:ascii="Times New Roman" w:hAnsi="Times New Roman"/>
          <w:b/>
          <w:bCs/>
          <w:color w:val="000000"/>
          <w:szCs w:val="24"/>
          <w:highlight w:val="white"/>
        </w:rPr>
        <w:t>Поставка персонального компьютера и ноутбука</w:t>
      </w:r>
    </w:p>
    <w:p>
      <w:pPr>
        <w:pStyle w:val="Normal"/>
        <w:keepNext w:val="true"/>
        <w:keepLines/>
        <w:widowControl w:val="false"/>
        <w:suppressLineNumbers/>
        <w:spacing w:before="0" w:after="0"/>
        <w:rPr>
          <w:b/>
          <w:b/>
        </w:rPr>
      </w:pPr>
      <w:r>
        <w:rPr>
          <w:b w:val="false"/>
          <w:bCs w:val="false"/>
          <w:color w:val="000000"/>
          <w:sz w:val="24"/>
          <w:szCs w:val="24"/>
        </w:rPr>
        <w:t xml:space="preserve">Начальная максимальная цена контракта: </w:t>
      </w:r>
      <w:r>
        <w:rPr>
          <w:b/>
          <w:bCs/>
          <w:color w:val="000000"/>
          <w:sz w:val="24"/>
          <w:szCs w:val="24"/>
        </w:rPr>
        <w:t>103 500 руб. 00 коп.</w:t>
      </w:r>
    </w:p>
    <w:p>
      <w:pPr>
        <w:pStyle w:val="Normal"/>
        <w:widowControl w:val="false"/>
        <w:suppressLineNumbers/>
        <w:spacing w:before="0" w:after="0"/>
        <w:rPr>
          <w:b/>
          <w:b/>
        </w:rPr>
      </w:pPr>
      <w:r>
        <w:rPr>
          <w:rFonts w:eastAsia="Times New Roman"/>
          <w:b w:val="false"/>
          <w:bCs w:val="false"/>
          <w:color w:val="000000"/>
          <w:sz w:val="24"/>
          <w:szCs w:val="24"/>
        </w:rPr>
        <w:t>Снижение</w:t>
      </w:r>
      <w:r>
        <w:rPr>
          <w:rFonts w:eastAsia="Times New Roman"/>
          <w:b w:val="false"/>
          <w:bCs w:val="false"/>
          <w:color w:val="000000"/>
          <w:sz w:val="24"/>
          <w:szCs w:val="24"/>
          <w:lang w:val="en-US"/>
        </w:rPr>
        <w:t xml:space="preserve"> </w:t>
      </w:r>
      <w:r>
        <w:rPr>
          <w:rFonts w:eastAsia="Times New Roman"/>
          <w:b w:val="false"/>
          <w:bCs w:val="false"/>
          <w:color w:val="000000"/>
          <w:sz w:val="24"/>
          <w:szCs w:val="24"/>
        </w:rPr>
        <w:t>НМЦК</w:t>
      </w:r>
      <w:r>
        <w:rPr>
          <w:rFonts w:eastAsia="Times New Roman"/>
          <w:b w:val="false"/>
          <w:bCs w:val="false"/>
          <w:color w:val="000000"/>
          <w:sz w:val="24"/>
          <w:szCs w:val="24"/>
          <w:lang w:val="en-US"/>
        </w:rPr>
        <w:t xml:space="preserve">, %: </w:t>
      </w:r>
      <w:r>
        <w:rPr>
          <w:rFonts w:eastAsia="Times New Roman" w:cs="Courier New"/>
          <w:b w:val="false"/>
          <w:bCs w:val="false"/>
          <w:color w:val="000000"/>
          <w:kern w:val="0"/>
          <w:sz w:val="24"/>
          <w:szCs w:val="24"/>
          <w:lang w:val="ru-RU" w:eastAsia="en-US" w:bidi="ar-SA"/>
        </w:rPr>
        <w:t>4</w:t>
      </w:r>
      <w:r>
        <w:rPr>
          <w:rFonts w:eastAsia="Times New Roman"/>
          <w:b w:val="false"/>
          <w:bCs w:val="false"/>
          <w:color w:val="000000"/>
          <w:sz w:val="24"/>
          <w:szCs w:val="24"/>
          <w:lang w:val="en-US"/>
        </w:rPr>
        <w:t>,50</w:t>
      </w:r>
    </w:p>
    <w:p>
      <w:pPr>
        <w:pStyle w:val="Normal"/>
        <w:widowControl w:val="false"/>
        <w:spacing w:lineRule="auto" w:line="240" w:before="0" w:after="0"/>
        <w:ind w:firstLine="567"/>
        <w:jc w:val="both"/>
        <w:rPr/>
      </w:pPr>
      <w:r>
        <w:rPr/>
        <w:t>На основании протокола проведения открытого аукциона в электронной форме 0744200000220002562 были рассмотрены вторые части заявок участников аукциона в электронной форме, следующих участников аукциона:</w:t>
      </w:r>
    </w:p>
    <w:p>
      <w:pPr>
        <w:pStyle w:val="Normal"/>
        <w:tabs>
          <w:tab w:val="left" w:pos="709" w:leader="none"/>
        </w:tabs>
        <w:spacing w:lineRule="auto" w:line="240" w:before="0" w:after="0"/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577" w:type="dxa"/>
        <w:jc w:val="left"/>
        <w:tblInd w:w="146" w:type="dxa"/>
        <w:tblCellMar>
          <w:top w:w="0" w:type="dxa"/>
          <w:left w:w="40" w:type="dxa"/>
          <w:bottom w:w="0" w:type="dxa"/>
          <w:right w:w="40" w:type="dxa"/>
        </w:tblCellMar>
        <w:tblLook w:firstRow="0" w:noVBand="0" w:lastRow="0" w:firstColumn="0" w:lastColumn="0" w:noHBand="0" w:val="0000"/>
      </w:tblPr>
      <w:tblGrid>
        <w:gridCol w:w="1449"/>
        <w:gridCol w:w="2105"/>
        <w:gridCol w:w="2785"/>
        <w:gridCol w:w="1616"/>
        <w:gridCol w:w="1622"/>
      </w:tblGrid>
      <w:tr>
        <w:trPr>
          <w:trHeight w:val="845" w:hRule="atLeast"/>
        </w:trPr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91"/>
              <w:spacing w:lineRule="auto" w:line="240" w:before="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Номер</w:t>
            </w:r>
          </w:p>
          <w:p>
            <w:pPr>
              <w:pStyle w:val="Style91"/>
              <w:spacing w:lineRule="auto" w:line="240" w:before="0" w:after="0"/>
              <w:jc w:val="center"/>
              <w:rPr/>
            </w:pPr>
            <w:r>
              <w:rPr>
                <w:b/>
                <w:bCs/>
              </w:rPr>
              <w:t>по ранжированию</w:t>
            </w:r>
          </w:p>
        </w:tc>
        <w:tc>
          <w:tcPr>
            <w:tcW w:w="2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spacing w:lineRule="auto" w:line="240" w:before="0" w:after="0"/>
              <w:rPr>
                <w:b/>
                <w:b/>
                <w:bCs/>
              </w:rPr>
            </w:pPr>
            <w:r>
              <w:rPr>
                <w:b/>
                <w:bCs/>
              </w:rPr>
              <w:t>Идентификационный</w:t>
            </w:r>
          </w:p>
          <w:p>
            <w:pPr>
              <w:pStyle w:val="Style71"/>
              <w:spacing w:lineRule="auto" w:line="240" w:before="0" w:after="0"/>
              <w:rPr>
                <w:b/>
                <w:b/>
                <w:bCs/>
              </w:rPr>
            </w:pPr>
            <w:r>
              <w:rPr>
                <w:b/>
                <w:bCs/>
              </w:rPr>
              <w:t>номер</w:t>
            </w:r>
          </w:p>
          <w:p>
            <w:pPr>
              <w:pStyle w:val="Style71"/>
              <w:spacing w:lineRule="auto" w:line="240" w:before="0" w:after="0"/>
              <w:rPr>
                <w:b/>
                <w:b/>
              </w:rPr>
            </w:pPr>
            <w:r>
              <w:rPr>
                <w:b/>
                <w:bCs/>
              </w:rPr>
              <w:t>участника</w:t>
            </w:r>
          </w:p>
        </w:tc>
        <w:tc>
          <w:tcPr>
            <w:tcW w:w="278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spacing w:lineRule="auto" w:line="240" w:before="0" w:after="0"/>
              <w:rPr>
                <w:b/>
                <w:b/>
              </w:rPr>
            </w:pPr>
            <w:r>
              <w:rPr>
                <w:b/>
                <w:bCs/>
              </w:rPr>
              <w:t>Наименование участника</w:t>
            </w:r>
          </w:p>
        </w:tc>
        <w:tc>
          <w:tcPr>
            <w:tcW w:w="161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>
            <w:pPr>
              <w:pStyle w:val="Style71"/>
              <w:spacing w:lineRule="auto" w:line="240" w:before="0" w:after="0"/>
              <w:rPr>
                <w:b/>
                <w:b/>
              </w:rPr>
            </w:pPr>
            <w:r>
              <w:rPr>
                <w:b/>
                <w:bCs/>
              </w:rPr>
              <w:t>Сумма предложения, руб.</w:t>
            </w:r>
          </w:p>
        </w:tc>
        <w:tc>
          <w:tcPr>
            <w:tcW w:w="162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b/>
                <w:bCs/>
              </w:rPr>
              <w:t>Процент снижения НМЦК, %</w:t>
            </w:r>
          </w:p>
        </w:tc>
      </w:tr>
      <w:tr>
        <w:trPr>
          <w:trHeight w:val="237" w:hRule="atLeast"/>
        </w:trPr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spacing w:lineRule="auto" w:line="240" w:before="0" w:after="0"/>
              <w:rPr/>
            </w:pPr>
            <w:r>
              <w:rPr>
                <w:rStyle w:val="FontStyle20"/>
                <w:sz w:val="24"/>
                <w:szCs w:val="24"/>
              </w:rPr>
              <w:t>1</w:t>
            </w:r>
          </w:p>
        </w:tc>
        <w:tc>
          <w:tcPr>
            <w:tcW w:w="2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 xml:space="preserve">Участник № </w:t>
            </w:r>
            <w:r>
              <w:rPr>
                <w:rStyle w:val="FontStyle13"/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ЕА-88386</w:t>
            </w:r>
          </w:p>
        </w:tc>
        <w:tc>
          <w:tcPr>
            <w:tcW w:w="278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 xml:space="preserve">ООО "ТЕХКОН" </w:t>
            </w:r>
          </w:p>
        </w:tc>
        <w:tc>
          <w:tcPr>
            <w:tcW w:w="161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Arial" w:cs="Courier New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Arial" w:cs="Courier New"/>
                <w:color w:val="auto"/>
                <w:kern w:val="0"/>
                <w:sz w:val="24"/>
                <w:szCs w:val="24"/>
                <w:lang w:val="ru-RU" w:eastAsia="en-US" w:bidi="ar-SA"/>
              </w:rPr>
              <w:t>98 842,50</w:t>
            </w:r>
          </w:p>
        </w:tc>
        <w:tc>
          <w:tcPr>
            <w:tcW w:w="162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Arial" w:cs="Courier New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Arial" w:cs="Courier New"/>
                <w:color w:val="auto"/>
                <w:kern w:val="0"/>
                <w:sz w:val="24"/>
                <w:szCs w:val="24"/>
                <w:lang w:val="ru-RU" w:eastAsia="en-US" w:bidi="ar-SA"/>
              </w:rPr>
              <w:t>4,50</w:t>
            </w:r>
          </w:p>
        </w:tc>
      </w:tr>
      <w:tr>
        <w:trPr>
          <w:trHeight w:val="619" w:hRule="atLeast"/>
        </w:trPr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spacing w:lineRule="auto" w:line="240" w:before="0" w:after="0"/>
              <w:rPr/>
            </w:pPr>
            <w:r>
              <w:rPr/>
              <w:t>2</w:t>
            </w:r>
          </w:p>
        </w:tc>
        <w:tc>
          <w:tcPr>
            <w:tcW w:w="2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 xml:space="preserve">Участник № </w:t>
            </w:r>
            <w:r>
              <w:rPr>
                <w:rStyle w:val="FontStyle13"/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ЕА-89777</w:t>
            </w:r>
          </w:p>
        </w:tc>
        <w:tc>
          <w:tcPr>
            <w:tcW w:w="278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 xml:space="preserve">ООО "ГИТОН" </w:t>
            </w:r>
          </w:p>
        </w:tc>
        <w:tc>
          <w:tcPr>
            <w:tcW w:w="161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Arial" w:cs="Courier New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Arial" w:cs="Courier New"/>
                <w:color w:val="auto"/>
                <w:kern w:val="0"/>
                <w:sz w:val="24"/>
                <w:szCs w:val="24"/>
                <w:lang w:val="ru-RU" w:eastAsia="en-US" w:bidi="ar-SA"/>
              </w:rPr>
              <w:t>99 360,00</w:t>
            </w:r>
          </w:p>
        </w:tc>
        <w:tc>
          <w:tcPr>
            <w:tcW w:w="162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Arial" w:cs="Courier New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Arial" w:cs="Courier New"/>
                <w:color w:val="auto"/>
                <w:kern w:val="0"/>
                <w:sz w:val="24"/>
                <w:szCs w:val="24"/>
                <w:lang w:val="ru-RU" w:eastAsia="en-US" w:bidi="ar-SA"/>
              </w:rPr>
              <w:t>4,00</w:t>
            </w:r>
          </w:p>
        </w:tc>
      </w:tr>
      <w:tr>
        <w:trPr>
          <w:trHeight w:val="237" w:hRule="atLeast"/>
        </w:trPr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Style71"/>
              <w:spacing w:lineRule="auto" w:line="240" w:before="0" w:after="0"/>
              <w:rPr/>
            </w:pPr>
            <w:r>
              <w:rPr/>
              <w:t>3</w:t>
            </w:r>
          </w:p>
        </w:tc>
        <w:tc>
          <w:tcPr>
            <w:tcW w:w="2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 xml:space="preserve">Участник № </w:t>
            </w:r>
            <w:r>
              <w:rPr>
                <w:rStyle w:val="FontStyle13"/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ЕА-89838</w:t>
            </w:r>
          </w:p>
        </w:tc>
        <w:tc>
          <w:tcPr>
            <w:tcW w:w="278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 xml:space="preserve">ООО "ИНТЕГРАЦИОННЫЕ РЕШЕНИЯ"   </w:t>
            </w:r>
          </w:p>
        </w:tc>
        <w:tc>
          <w:tcPr>
            <w:tcW w:w="161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Arial" w:cs="Courier New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Arial" w:cs="Courier New"/>
                <w:color w:val="auto"/>
                <w:kern w:val="0"/>
                <w:sz w:val="24"/>
                <w:szCs w:val="24"/>
                <w:lang w:val="ru-RU" w:eastAsia="en-US" w:bidi="ar-SA"/>
              </w:rPr>
              <w:t>99 877,50</w:t>
            </w:r>
          </w:p>
        </w:tc>
        <w:tc>
          <w:tcPr>
            <w:tcW w:w="162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Arial" w:cs="Courier New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Arial" w:cs="Courier New"/>
                <w:color w:val="auto"/>
                <w:kern w:val="0"/>
                <w:sz w:val="24"/>
                <w:szCs w:val="24"/>
                <w:lang w:val="ru-RU" w:eastAsia="en-US" w:bidi="ar-SA"/>
              </w:rPr>
              <w:t>3,50</w:t>
            </w:r>
          </w:p>
        </w:tc>
      </w:tr>
    </w:tbl>
    <w:p>
      <w:pPr>
        <w:pStyle w:val="Style41"/>
        <w:spacing w:lineRule="auto" w:line="240" w:before="0" w:after="0"/>
        <w:jc w:val="both"/>
        <w:rPr/>
      </w:pPr>
      <w:r>
        <w:rPr/>
      </w:r>
    </w:p>
    <w:p>
      <w:pPr>
        <w:pStyle w:val="Style41"/>
        <w:spacing w:lineRule="auto" w:line="240" w:before="0" w:after="0"/>
        <w:jc w:val="both"/>
        <w:rPr/>
      </w:pPr>
      <w:r>
        <w:rPr/>
        <w:t>Членами аукционной комиссии принято решение:</w:t>
      </w:r>
    </w:p>
    <w:p>
      <w:pPr>
        <w:pStyle w:val="Style41"/>
        <w:spacing w:lineRule="auto" w:line="240" w:before="0" w:after="0"/>
        <w:jc w:val="both"/>
        <w:rPr/>
      </w:pPr>
      <w:r>
        <w:rPr/>
      </w:r>
    </w:p>
    <w:tbl>
      <w:tblPr>
        <w:tblW w:w="9733" w:type="dxa"/>
        <w:jc w:val="left"/>
        <w:tblInd w:w="11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655"/>
        <w:gridCol w:w="1995"/>
        <w:gridCol w:w="2433"/>
        <w:gridCol w:w="2649"/>
      </w:tblGrid>
      <w:tr>
        <w:trPr>
          <w:trHeight w:val="493" w:hRule="atLeast"/>
        </w:trPr>
        <w:tc>
          <w:tcPr>
            <w:tcW w:w="2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Члены комиссии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 xml:space="preserve">Решение по Заявке № </w:t>
            </w:r>
            <w:r>
              <w:rPr>
                <w:rStyle w:val="FontStyle13"/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ЕА-88386</w:t>
            </w:r>
            <w:r>
              <w:rPr/>
              <w:t xml:space="preserve"> ООО "ТЕХКОН" </w:t>
            </w:r>
          </w:p>
        </w:tc>
        <w:tc>
          <w:tcPr>
            <w:tcW w:w="2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 xml:space="preserve">Решение по Заявке № </w:t>
            </w:r>
            <w:r>
              <w:rPr>
                <w:rStyle w:val="FontStyle13"/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 xml:space="preserve">ЕА-89777 ООО "ГИТОН" </w:t>
            </w:r>
          </w:p>
        </w:tc>
        <w:tc>
          <w:tcPr>
            <w:tcW w:w="2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 xml:space="preserve">Решение по Заявке № </w:t>
            </w:r>
            <w:r>
              <w:rPr>
                <w:rStyle w:val="FontStyle13"/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 xml:space="preserve">ЕА-89838 ООО "ИНТЕГРАЦИОННЫЕ РЕШЕНИЯ"   </w:t>
            </w:r>
          </w:p>
        </w:tc>
      </w:tr>
      <w:tr>
        <w:trPr>
          <w:trHeight w:val="536" w:hRule="atLeast"/>
        </w:trPr>
        <w:tc>
          <w:tcPr>
            <w:tcW w:w="2655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szCs w:val="24"/>
              </w:rPr>
            </w:pPr>
            <w:r>
              <w:rPr>
                <w:sz w:val="24"/>
                <w:szCs w:val="24"/>
              </w:rPr>
              <w:t>Резниченко Галина Ивановна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8"/>
              <w:spacing w:lineRule="auto" w:line="240" w:before="0" w:after="0"/>
              <w:jc w:val="center"/>
              <w:rPr/>
            </w:pPr>
            <w:r>
              <w:rPr/>
              <w:t>Соответствует требованиям</w:t>
            </w:r>
          </w:p>
        </w:tc>
        <w:tc>
          <w:tcPr>
            <w:tcW w:w="2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center"/>
              <w:rPr/>
            </w:pPr>
            <w:r>
              <w:rPr/>
              <w:t>Соответствует требованиям</w:t>
            </w:r>
          </w:p>
        </w:tc>
        <w:tc>
          <w:tcPr>
            <w:tcW w:w="2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center"/>
              <w:rPr/>
            </w:pPr>
            <w:r>
              <w:rPr/>
              <w:t>Соответствует требованиям</w:t>
            </w:r>
          </w:p>
        </w:tc>
      </w:tr>
      <w:tr>
        <w:trPr>
          <w:trHeight w:val="595" w:hRule="atLeast"/>
        </w:trPr>
        <w:tc>
          <w:tcPr>
            <w:tcW w:w="2655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 w:val="24"/>
                <w:szCs w:val="24"/>
                <w:lang w:eastAsia="zh-CN"/>
              </w:rPr>
              <w:t>Бекетова Наталия Алексеевна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center"/>
              <w:rPr/>
            </w:pPr>
            <w:r>
              <w:rPr/>
              <w:t>Соответствует требованиям</w:t>
            </w:r>
          </w:p>
        </w:tc>
        <w:tc>
          <w:tcPr>
            <w:tcW w:w="2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center"/>
              <w:rPr/>
            </w:pPr>
            <w:r>
              <w:rPr/>
              <w:t>Соответствует требованиям</w:t>
            </w:r>
          </w:p>
        </w:tc>
        <w:tc>
          <w:tcPr>
            <w:tcW w:w="2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center"/>
              <w:rPr/>
            </w:pPr>
            <w:r>
              <w:rPr/>
              <w:t>Соответствует требованиям</w:t>
            </w:r>
          </w:p>
        </w:tc>
      </w:tr>
      <w:tr>
        <w:trPr>
          <w:trHeight w:val="603" w:hRule="atLeast"/>
        </w:trPr>
        <w:tc>
          <w:tcPr>
            <w:tcW w:w="2655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Иванников Михаил Иванович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center"/>
              <w:rPr/>
            </w:pPr>
            <w:r>
              <w:rPr/>
              <w:t>Соответствует требованиям</w:t>
            </w:r>
          </w:p>
        </w:tc>
        <w:tc>
          <w:tcPr>
            <w:tcW w:w="2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center"/>
              <w:rPr/>
            </w:pPr>
            <w:r>
              <w:rPr/>
              <w:t>Соответствует требованиям</w:t>
            </w:r>
          </w:p>
        </w:tc>
        <w:tc>
          <w:tcPr>
            <w:tcW w:w="2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center"/>
              <w:rPr/>
            </w:pPr>
            <w:r>
              <w:rPr/>
              <w:t>Соответствует требованиям</w:t>
            </w:r>
          </w:p>
        </w:tc>
      </w:tr>
      <w:tr>
        <w:trPr>
          <w:trHeight w:val="546" w:hRule="atLeast"/>
        </w:trPr>
        <w:tc>
          <w:tcPr>
            <w:tcW w:w="2655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Cs w:val="24"/>
                <w:highlight w:val="white"/>
              </w:rPr>
              <w:t>Яворская Юлия Михайловна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center"/>
              <w:rPr/>
            </w:pPr>
            <w:r>
              <w:rPr/>
              <w:t>Соответствует требованиям</w:t>
            </w:r>
          </w:p>
        </w:tc>
        <w:tc>
          <w:tcPr>
            <w:tcW w:w="2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center"/>
              <w:rPr/>
            </w:pPr>
            <w:r>
              <w:rPr/>
              <w:t>Соответствует требованиям</w:t>
            </w:r>
          </w:p>
        </w:tc>
        <w:tc>
          <w:tcPr>
            <w:tcW w:w="2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center"/>
              <w:rPr/>
            </w:pPr>
            <w:r>
              <w:rPr/>
              <w:t>Соответствует требованиям</w:t>
            </w:r>
          </w:p>
        </w:tc>
      </w:tr>
      <w:tr>
        <w:trPr>
          <w:trHeight w:val="546" w:hRule="atLeast"/>
        </w:trPr>
        <w:tc>
          <w:tcPr>
            <w:tcW w:w="2655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Cs w:val="24"/>
                <w:highlight w:val="white"/>
              </w:rPr>
              <w:t>Титова Наталья Владимировна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center"/>
              <w:rPr/>
            </w:pPr>
            <w:r>
              <w:rPr/>
              <w:t>Соответствует требованиям</w:t>
            </w:r>
          </w:p>
        </w:tc>
        <w:tc>
          <w:tcPr>
            <w:tcW w:w="2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center"/>
              <w:rPr/>
            </w:pPr>
            <w:r>
              <w:rPr/>
              <w:t>Соответствует требованиям</w:t>
            </w:r>
          </w:p>
        </w:tc>
        <w:tc>
          <w:tcPr>
            <w:tcW w:w="2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center"/>
              <w:rPr/>
            </w:pPr>
            <w:r>
              <w:rPr/>
              <w:t>Соответствует требованиям</w:t>
            </w:r>
          </w:p>
        </w:tc>
      </w:tr>
      <w:tr>
        <w:trPr>
          <w:trHeight w:val="546" w:hRule="atLeast"/>
        </w:trPr>
        <w:tc>
          <w:tcPr>
            <w:tcW w:w="2655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Cs w:val="24"/>
                <w:highlight w:val="white"/>
              </w:rPr>
              <w:t>Зуева Олеся Владимировна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center"/>
              <w:rPr/>
            </w:pPr>
            <w:r>
              <w:rPr/>
              <w:t>Соответствует требованиям</w:t>
            </w:r>
          </w:p>
        </w:tc>
        <w:tc>
          <w:tcPr>
            <w:tcW w:w="2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center"/>
              <w:rPr/>
            </w:pPr>
            <w:r>
              <w:rPr/>
              <w:t>Соответствует требованиям</w:t>
            </w:r>
          </w:p>
        </w:tc>
        <w:tc>
          <w:tcPr>
            <w:tcW w:w="2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center"/>
              <w:rPr/>
            </w:pPr>
            <w:r>
              <w:rPr/>
              <w:t>Соответствует требованиям</w:t>
            </w:r>
          </w:p>
        </w:tc>
      </w:tr>
      <w:tr>
        <w:trPr>
          <w:trHeight w:val="546" w:hRule="atLeast"/>
        </w:trPr>
        <w:tc>
          <w:tcPr>
            <w:tcW w:w="2655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Cs w:val="24"/>
              </w:rPr>
              <w:t>Сасина Елена Юрьевна</w:t>
            </w:r>
          </w:p>
        </w:tc>
        <w:tc>
          <w:tcPr>
            <w:tcW w:w="1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center"/>
              <w:rPr/>
            </w:pPr>
            <w:r>
              <w:rPr/>
              <w:t>Соответствует требованиям</w:t>
            </w:r>
          </w:p>
        </w:tc>
        <w:tc>
          <w:tcPr>
            <w:tcW w:w="24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center"/>
              <w:rPr/>
            </w:pPr>
            <w:r>
              <w:rPr/>
              <w:t>Соответствует требованиям</w:t>
            </w:r>
          </w:p>
        </w:tc>
        <w:tc>
          <w:tcPr>
            <w:tcW w:w="26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center"/>
              <w:rPr/>
            </w:pPr>
            <w:r>
              <w:rPr/>
              <w:t>Соответствует требованиям</w:t>
            </w:r>
          </w:p>
        </w:tc>
      </w:tr>
    </w:tbl>
    <w:p>
      <w:pPr>
        <w:pStyle w:val="Normal"/>
        <w:spacing w:before="0" w:after="0"/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40" w:before="0" w:after="0"/>
        <w:ind w:firstLine="720"/>
        <w:jc w:val="both"/>
        <w:rPr/>
      </w:pPr>
      <w:r>
        <w:rPr/>
        <w:t xml:space="preserve">В результате рассмотрения вторых частей заявок признать победителем электронного аукциона — ОБЩЕСТВО С ОГРАНИЧЕННОЙ ОТВЕТСТВЕННОСТЬЮ "ТЕХКОН"  ИНН </w:t>
      </w:r>
      <w:r>
        <w:rPr>
          <w:rFonts w:eastAsia="Arial" w:cs="Courier New"/>
          <w:color w:val="auto"/>
          <w:kern w:val="0"/>
          <w:sz w:val="24"/>
          <w:szCs w:val="24"/>
          <w:lang w:val="ru-RU" w:eastAsia="en-US" w:bidi="ar-SA"/>
        </w:rPr>
        <w:t>4632246158</w:t>
      </w:r>
      <w:r>
        <w:rPr/>
        <w:t xml:space="preserve">, предложившего цену контракта </w:t>
      </w:r>
      <w:r>
        <w:rPr>
          <w:rFonts w:eastAsia="Arial" w:cs="Courier New"/>
          <w:color w:val="auto"/>
          <w:kern w:val="0"/>
          <w:sz w:val="24"/>
          <w:szCs w:val="24"/>
          <w:lang w:val="ru-RU" w:eastAsia="en-US" w:bidi="ar-SA"/>
        </w:rPr>
        <w:t>98 842,50</w:t>
      </w:r>
      <w:r>
        <w:rPr/>
        <w:t xml:space="preserve"> </w:t>
      </w:r>
      <w:r>
        <w:rPr>
          <w:lang w:val="en-US"/>
        </w:rPr>
        <w:t>RUB</w:t>
      </w:r>
      <w:r>
        <w:rPr/>
        <w:t>.</w:t>
      </w:r>
    </w:p>
    <w:p>
      <w:pPr>
        <w:pStyle w:val="Normal"/>
        <w:spacing w:lineRule="auto" w:line="240" w:before="0" w:after="0"/>
        <w:ind w:firstLine="720"/>
        <w:jc w:val="both"/>
        <w:rPr/>
      </w:pPr>
      <w:r>
        <w:rPr/>
      </w:r>
    </w:p>
    <w:p>
      <w:pPr>
        <w:pStyle w:val="Normal"/>
        <w:spacing w:lineRule="auto" w:line="240" w:before="0" w:after="0"/>
        <w:ind w:firstLine="720"/>
        <w:jc w:val="both"/>
        <w:rPr>
          <w:rFonts w:eastAsia="Times New Roman"/>
        </w:rPr>
      </w:pPr>
      <w:r>
        <w:rPr>
          <w:rFonts w:eastAsia="Times New Roman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"ТЕХКОН" 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spacing w:lineRule="auto" w:line="240" w:before="0" w:after="0"/>
        <w:ind w:firstLine="720"/>
        <w:jc w:val="both"/>
        <w:rPr/>
      </w:pPr>
      <w:r>
        <w:rPr/>
      </w:r>
    </w:p>
    <w:p>
      <w:pPr>
        <w:pStyle w:val="Normal"/>
        <w:spacing w:lineRule="auto" w:line="240" w:before="0" w:after="0"/>
        <w:ind w:firstLine="720"/>
        <w:jc w:val="both"/>
        <w:rPr/>
      </w:pPr>
      <w:hyperlink r:id="rId2">
        <w:r>
          <w:rPr>
            <w:color w:val="000000"/>
          </w:rPr>
          <w:t xml:space="preserve">Протокол составлен в одном экземпляре, который хранится в </w:t>
        </w:r>
        <w:r>
          <w:rPr>
            <w:rFonts w:eastAsia="Times New Roman" w:cs="Times New Roman"/>
            <w:color w:val="000000"/>
            <w:lang w:eastAsia="ru-RU"/>
          </w:rPr>
          <w:t>областном казенном учреждении «Центр закупок Курской области»</w:t>
        </w:r>
        <w:r>
          <w:rPr>
            <w:color w:val="000000"/>
          </w:rPr>
          <w:t xml:space="preserve"> и подписан всеми присутствующими членами аукционной комиссии.</w:t>
        </w:r>
      </w:hyperlink>
    </w:p>
    <w:p>
      <w:pPr>
        <w:pStyle w:val="Normal"/>
        <w:spacing w:lineRule="auto" w:line="240" w:before="0" w:after="0"/>
        <w:ind w:firstLine="720"/>
        <w:jc w:val="both"/>
        <w:rPr/>
      </w:pPr>
      <w:r>
        <w:rPr/>
      </w:r>
    </w:p>
    <w:tbl>
      <w:tblPr>
        <w:tblStyle w:val="af5"/>
        <w:tblW w:w="9638" w:type="dxa"/>
        <w:jc w:val="left"/>
        <w:tblInd w:w="108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585"/>
        <w:gridCol w:w="4052"/>
      </w:tblGrid>
      <w:tr>
        <w:trPr/>
        <w:tc>
          <w:tcPr>
            <w:tcW w:w="55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360" w:before="0" w:after="0"/>
              <w:jc w:val="both"/>
              <w:rPr>
                <w:color w:val="000000"/>
              </w:rPr>
            </w:pPr>
            <w:r>
              <w:rPr>
                <w:rStyle w:val="FontStyle13"/>
                <w:sz w:val="24"/>
                <w:szCs w:val="24"/>
              </w:rPr>
              <w:t>Председатель комиссии:_______________________</w:t>
            </w:r>
          </w:p>
        </w:tc>
        <w:tc>
          <w:tcPr>
            <w:tcW w:w="40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360" w:before="0" w:after="0"/>
              <w:jc w:val="both"/>
              <w:rPr/>
            </w:pPr>
            <w:r>
              <w:rPr/>
              <w:t>Резниченко Галина Ивановна</w:t>
            </w:r>
          </w:p>
        </w:tc>
      </w:tr>
      <w:tr>
        <w:trPr/>
        <w:tc>
          <w:tcPr>
            <w:tcW w:w="55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360" w:before="0" w:after="0"/>
              <w:jc w:val="both"/>
              <w:rPr>
                <w:color w:val="000000"/>
              </w:rPr>
            </w:pPr>
            <w:r>
              <w:rPr>
                <w:rStyle w:val="FontStyle13"/>
                <w:sz w:val="24"/>
                <w:szCs w:val="24"/>
              </w:rPr>
              <w:t>Зам. председателя комиссии:___________________</w:t>
            </w:r>
          </w:p>
        </w:tc>
        <w:tc>
          <w:tcPr>
            <w:tcW w:w="40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360" w:before="0" w:after="0"/>
              <w:jc w:val="both"/>
              <w:rPr>
                <w:sz w:val="28"/>
                <w:szCs w:val="28"/>
              </w:rPr>
            </w:pPr>
            <w:r>
              <w:rPr>
                <w:sz w:val="24"/>
                <w:szCs w:val="24"/>
                <w:lang w:eastAsia="zh-CN"/>
              </w:rPr>
              <w:t>Бекетова Наталия Алексеевна</w:t>
            </w:r>
          </w:p>
        </w:tc>
      </w:tr>
      <w:tr>
        <w:trPr/>
        <w:tc>
          <w:tcPr>
            <w:tcW w:w="55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360" w:before="0" w:after="0"/>
              <w:jc w:val="both"/>
              <w:rPr>
                <w:color w:val="000000"/>
              </w:rPr>
            </w:pPr>
            <w:r>
              <w:rPr/>
              <w:t>Член комиссии:______________________________</w:t>
            </w:r>
          </w:p>
        </w:tc>
        <w:tc>
          <w:tcPr>
            <w:tcW w:w="40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Cs w:val="24"/>
                <w:highlight w:val="white"/>
              </w:rPr>
              <w:t>Яворская Юлия Михайловна</w:t>
            </w:r>
          </w:p>
        </w:tc>
      </w:tr>
      <w:tr>
        <w:trPr/>
        <w:tc>
          <w:tcPr>
            <w:tcW w:w="55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360" w:before="0" w:after="0"/>
              <w:jc w:val="both"/>
              <w:rPr>
                <w:color w:val="000000"/>
              </w:rPr>
            </w:pPr>
            <w:r>
              <w:rPr/>
              <w:t>Член комиссии:  ______________________________</w:t>
            </w:r>
          </w:p>
        </w:tc>
        <w:tc>
          <w:tcPr>
            <w:tcW w:w="40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Cs w:val="24"/>
                <w:highlight w:val="white"/>
              </w:rPr>
              <w:t>Титова Наталья Владимировна</w:t>
            </w:r>
          </w:p>
        </w:tc>
      </w:tr>
      <w:tr>
        <w:trPr/>
        <w:tc>
          <w:tcPr>
            <w:tcW w:w="55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360" w:before="0" w:after="0"/>
              <w:jc w:val="both"/>
              <w:rPr>
                <w:color w:val="000000"/>
              </w:rPr>
            </w:pPr>
            <w:r>
              <w:rPr/>
              <w:t>Член комиссии: ______________________________</w:t>
            </w:r>
          </w:p>
        </w:tc>
        <w:tc>
          <w:tcPr>
            <w:tcW w:w="40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Cs w:val="24"/>
                <w:highlight w:val="white"/>
              </w:rPr>
              <w:t>Зуева Олеся Владимировна</w:t>
            </w:r>
          </w:p>
        </w:tc>
      </w:tr>
      <w:tr>
        <w:trPr/>
        <w:tc>
          <w:tcPr>
            <w:tcW w:w="55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360" w:before="0" w:after="0"/>
              <w:jc w:val="both"/>
              <w:rPr>
                <w:color w:val="000000"/>
              </w:rPr>
            </w:pPr>
            <w:r>
              <w:rPr/>
              <w:t>Член комиссии: ______________________________</w:t>
            </w:r>
          </w:p>
        </w:tc>
        <w:tc>
          <w:tcPr>
            <w:tcW w:w="40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Cs w:val="24"/>
              </w:rPr>
              <w:t>Сасина Елена Юрьевна</w:t>
            </w:r>
          </w:p>
        </w:tc>
      </w:tr>
      <w:tr>
        <w:trPr/>
        <w:tc>
          <w:tcPr>
            <w:tcW w:w="558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360" w:before="0" w:after="0"/>
              <w:jc w:val="both"/>
              <w:rPr>
                <w:color w:val="000000"/>
              </w:rPr>
            </w:pPr>
            <w:r>
              <w:rPr>
                <w:rStyle w:val="FontStyle13"/>
                <w:sz w:val="24"/>
                <w:szCs w:val="24"/>
              </w:rPr>
              <w:t>Секретарь комиссии: __________________________</w:t>
            </w:r>
          </w:p>
        </w:tc>
        <w:tc>
          <w:tcPr>
            <w:tcW w:w="405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360" w:before="0" w:after="0"/>
              <w:jc w:val="both"/>
              <w:rPr/>
            </w:pPr>
            <w:r>
              <w:rPr/>
              <w:t>Иванников Михаил Иванович</w:t>
            </w:r>
          </w:p>
        </w:tc>
      </w:tr>
    </w:tbl>
    <w:p>
      <w:pPr>
        <w:pStyle w:val="Normal"/>
        <w:spacing w:lineRule="auto" w:line="240" w:before="0" w:after="0"/>
        <w:ind w:firstLine="720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spacing w:before="100" w:after="100"/>
        <w:jc w:val="center"/>
        <w:rPr>
          <w:sz w:val="20"/>
          <w:szCs w:val="20"/>
        </w:rPr>
      </w:pPr>
      <w:r>
        <w:rPr/>
      </w:r>
    </w:p>
    <w:sectPr>
      <w:type w:val="nextPage"/>
      <w:pgSz w:w="11906" w:h="16838"/>
      <w:pgMar w:left="1134" w:right="1134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9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0c7da6"/>
    <w:pPr>
      <w:widowControl/>
      <w:suppressAutoHyphens w:val="true"/>
      <w:bidi w:val="0"/>
      <w:spacing w:lineRule="auto" w:line="276"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17" w:customStyle="1">
    <w:name w:val="Font Style17"/>
    <w:basedOn w:val="DefaultParagraphFont"/>
    <w:uiPriority w:val="99"/>
    <w:qFormat/>
    <w:rsid w:val="00a50486"/>
    <w:rPr>
      <w:rFonts w:ascii="Times New Roman" w:hAnsi="Times New Roman" w:cs="Times New Roman"/>
      <w:b/>
      <w:bCs/>
      <w:sz w:val="24"/>
      <w:szCs w:val="24"/>
    </w:rPr>
  </w:style>
  <w:style w:type="character" w:styleId="FontStyle18" w:customStyle="1">
    <w:name w:val="Font Style18"/>
    <w:basedOn w:val="DefaultParagraphFont"/>
    <w:uiPriority w:val="99"/>
    <w:qFormat/>
    <w:rsid w:val="00a50486"/>
    <w:rPr>
      <w:rFonts w:ascii="Times New Roman" w:hAnsi="Times New Roman" w:cs="Times New Roman"/>
      <w:b/>
      <w:bCs/>
      <w:sz w:val="18"/>
      <w:szCs w:val="18"/>
    </w:rPr>
  </w:style>
  <w:style w:type="character" w:styleId="FontStyle20" w:customStyle="1">
    <w:name w:val="Font Style20"/>
    <w:basedOn w:val="DefaultParagraphFont"/>
    <w:uiPriority w:val="99"/>
    <w:qFormat/>
    <w:rsid w:val="00a50486"/>
    <w:rPr>
      <w:rFonts w:ascii="Times New Roman" w:hAnsi="Times New Roman" w:cs="Times New Roman"/>
      <w:sz w:val="18"/>
      <w:szCs w:val="18"/>
    </w:rPr>
  </w:style>
  <w:style w:type="character" w:styleId="Style14" w:customStyle="1">
    <w:name w:val="Название Знак"/>
    <w:basedOn w:val="DefaultParagraphFont"/>
    <w:uiPriority w:val="10"/>
    <w:qFormat/>
    <w:rsid w:val="00a50486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FontStyle13" w:customStyle="1">
    <w:name w:val="Font Style13"/>
    <w:basedOn w:val="DefaultParagraphFont"/>
    <w:uiPriority w:val="99"/>
    <w:qFormat/>
    <w:rsid w:val="00a50486"/>
    <w:rPr>
      <w:rFonts w:ascii="Times New Roman" w:hAnsi="Times New Roman" w:cs="Times New Roman"/>
      <w:sz w:val="26"/>
      <w:szCs w:val="26"/>
    </w:rPr>
  </w:style>
  <w:style w:type="character" w:styleId="Style15" w:customStyle="1">
    <w:name w:val="Основной текст с отступом Знак"/>
    <w:basedOn w:val="DefaultParagraphFont"/>
    <w:qFormat/>
    <w:rsid w:val="00a50486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2" w:customStyle="1">
    <w:name w:val="Основной текст с отступом 2 Знак"/>
    <w:basedOn w:val="DefaultParagraphFont"/>
    <w:link w:val="2"/>
    <w:uiPriority w:val="99"/>
    <w:qFormat/>
    <w:rsid w:val="00a50486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onsPlusNormal" w:customStyle="1">
    <w:name w:val="ConsPlusNormal Знак"/>
    <w:link w:val="ConsPlusNormal"/>
    <w:qFormat/>
    <w:locked/>
    <w:rsid w:val="00a50486"/>
    <w:rPr>
      <w:rFonts w:ascii="Arial" w:hAnsi="Arial" w:eastAsia="Times New Roman" w:cs="Arial"/>
      <w:sz w:val="20"/>
      <w:szCs w:val="20"/>
      <w:lang w:eastAsia="ru-RU"/>
    </w:rPr>
  </w:style>
  <w:style w:type="character" w:styleId="Style16">
    <w:name w:val="Выделение"/>
    <w:qFormat/>
    <w:rsid w:val="00d4388a"/>
    <w:rPr>
      <w:i/>
      <w:iCs/>
    </w:rPr>
  </w:style>
  <w:style w:type="character" w:styleId="Rserrhl1" w:customStyle="1">
    <w:name w:val="rs_err_hl1"/>
    <w:basedOn w:val="DefaultParagraphFont"/>
    <w:qFormat/>
    <w:rsid w:val="00d40b33"/>
    <w:rPr/>
  </w:style>
  <w:style w:type="character" w:styleId="Style17">
    <w:name w:val="Интернет-ссылка"/>
    <w:basedOn w:val="DefaultParagraphFont"/>
    <w:uiPriority w:val="99"/>
    <w:semiHidden/>
    <w:unhideWhenUsed/>
    <w:rsid w:val="00fd3f5a"/>
    <w:rPr>
      <w:color w:val="0000FF"/>
      <w:u w:val="single"/>
    </w:rPr>
  </w:style>
  <w:style w:type="character" w:styleId="Style18" w:customStyle="1">
    <w:name w:val="Без интервала Знак"/>
    <w:uiPriority w:val="1"/>
    <w:qFormat/>
    <w:locked/>
    <w:rsid w:val="00394a56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rong">
    <w:name w:val="Strong"/>
    <w:basedOn w:val="DefaultParagraphFont"/>
    <w:uiPriority w:val="22"/>
    <w:qFormat/>
    <w:rsid w:val="009e3f29"/>
    <w:rPr>
      <w:b/>
      <w:bCs/>
    </w:rPr>
  </w:style>
  <w:style w:type="character" w:styleId="Style19" w:customStyle="1">
    <w:name w:val="Обычный (веб) Знак"/>
    <w:link w:val="a9"/>
    <w:uiPriority w:val="99"/>
    <w:qFormat/>
    <w:locked/>
    <w:rsid w:val="009e3f29"/>
    <w:rPr>
      <w:rFonts w:ascii="Times New Roman" w:hAnsi="Times New Roman" w:eastAsia="Times New Roman" w:cs="Times New Roman"/>
      <w:sz w:val="24"/>
      <w:szCs w:val="24"/>
    </w:rPr>
  </w:style>
  <w:style w:type="character" w:styleId="CITE" w:customStyle="1">
    <w:name w:val="CITE"/>
    <w:qFormat/>
    <w:rsid w:val="000c7da6"/>
    <w:rPr>
      <w:i/>
    </w:rPr>
  </w:style>
  <w:style w:type="character" w:styleId="CODE" w:customStyle="1">
    <w:name w:val="CODE"/>
    <w:qFormat/>
    <w:rsid w:val="000c7da6"/>
    <w:rPr>
      <w:rFonts w:ascii="Courier New" w:hAnsi="Courier New"/>
      <w:sz w:val="20"/>
    </w:rPr>
  </w:style>
  <w:style w:type="character" w:styleId="Keyboard" w:customStyle="1">
    <w:name w:val="Keyboard"/>
    <w:qFormat/>
    <w:rsid w:val="000c7da6"/>
    <w:rPr>
      <w:rFonts w:ascii="Courier New" w:hAnsi="Courier New"/>
      <w:b/>
      <w:sz w:val="20"/>
    </w:rPr>
  </w:style>
  <w:style w:type="character" w:styleId="Sample" w:customStyle="1">
    <w:name w:val="Sample"/>
    <w:qFormat/>
    <w:rsid w:val="000c7da6"/>
    <w:rPr>
      <w:rFonts w:ascii="Courier New" w:hAnsi="Courier New"/>
    </w:rPr>
  </w:style>
  <w:style w:type="character" w:styleId="Typewriter" w:customStyle="1">
    <w:name w:val="Typewriter"/>
    <w:qFormat/>
    <w:rsid w:val="000c7da6"/>
    <w:rPr>
      <w:rFonts w:ascii="Courier New" w:hAnsi="Courier New"/>
      <w:sz w:val="20"/>
    </w:rPr>
  </w:style>
  <w:style w:type="character" w:styleId="HTMLMarkup" w:customStyle="1">
    <w:name w:val="HTML Markup"/>
    <w:qFormat/>
    <w:rsid w:val="000c7da6"/>
    <w:rPr>
      <w:vanish/>
      <w:color w:val="FF0000"/>
    </w:rPr>
  </w:style>
  <w:style w:type="character" w:styleId="Comment" w:customStyle="1">
    <w:name w:val="Comment"/>
    <w:qFormat/>
    <w:rsid w:val="000c7da6"/>
    <w:rPr>
      <w:vanish/>
    </w:rPr>
  </w:style>
  <w:style w:type="paragraph" w:styleId="Style20">
    <w:name w:val="Заголовок"/>
    <w:basedOn w:val="Normal"/>
    <w:next w:val="Style21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1">
    <w:name w:val="Body Text"/>
    <w:basedOn w:val="Normal"/>
    <w:rsid w:val="000c7da6"/>
    <w:pPr>
      <w:spacing w:before="0" w:after="140"/>
    </w:pPr>
    <w:rPr/>
  </w:style>
  <w:style w:type="paragraph" w:styleId="Style22">
    <w:name w:val="List"/>
    <w:basedOn w:val="Style21"/>
    <w:rsid w:val="000c7da6"/>
    <w:pPr/>
    <w:rPr>
      <w:rFonts w:cs="Arial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Arial"/>
    </w:rPr>
  </w:style>
  <w:style w:type="paragraph" w:styleId="Style25">
    <w:name w:val="Title"/>
    <w:basedOn w:val="Normal"/>
    <w:next w:val="Style21"/>
    <w:uiPriority w:val="10"/>
    <w:qFormat/>
    <w:rsid w:val="00a50486"/>
    <w:pPr>
      <w:spacing w:beforeAutospacing="1" w:afterAutospacing="1"/>
    </w:pPr>
    <w:rPr>
      <w:color w:val="000000"/>
    </w:rPr>
  </w:style>
  <w:style w:type="paragraph" w:styleId="Caption">
    <w:name w:val="caption"/>
    <w:basedOn w:val="Normal"/>
    <w:qFormat/>
    <w:rsid w:val="000c7da6"/>
    <w:pPr>
      <w:suppressLineNumbers/>
      <w:spacing w:before="120" w:after="120"/>
    </w:pPr>
    <w:rPr>
      <w:rFonts w:cs="Arial"/>
      <w:i/>
      <w:iCs/>
    </w:rPr>
  </w:style>
  <w:style w:type="paragraph" w:styleId="Indexheading">
    <w:name w:val="index heading"/>
    <w:basedOn w:val="Normal"/>
    <w:qFormat/>
    <w:rsid w:val="000c7da6"/>
    <w:pPr>
      <w:suppressLineNumbers/>
    </w:pPr>
    <w:rPr>
      <w:rFonts w:cs="Arial"/>
    </w:rPr>
  </w:style>
  <w:style w:type="paragraph" w:styleId="Style41" w:customStyle="1">
    <w:name w:val="Style4"/>
    <w:basedOn w:val="Normal"/>
    <w:uiPriority w:val="99"/>
    <w:qFormat/>
    <w:rsid w:val="00a50486"/>
    <w:pPr/>
    <w:rPr/>
  </w:style>
  <w:style w:type="paragraph" w:styleId="Style51" w:customStyle="1">
    <w:name w:val="Style5"/>
    <w:basedOn w:val="Normal"/>
    <w:uiPriority w:val="99"/>
    <w:qFormat/>
    <w:rsid w:val="00a50486"/>
    <w:pPr>
      <w:spacing w:lineRule="exact" w:line="300"/>
      <w:jc w:val="center"/>
    </w:pPr>
    <w:rPr/>
  </w:style>
  <w:style w:type="paragraph" w:styleId="Style61" w:customStyle="1">
    <w:name w:val="Style6"/>
    <w:basedOn w:val="Normal"/>
    <w:uiPriority w:val="99"/>
    <w:qFormat/>
    <w:rsid w:val="00a50486"/>
    <w:pPr/>
    <w:rPr/>
  </w:style>
  <w:style w:type="paragraph" w:styleId="Style71" w:customStyle="1">
    <w:name w:val="Style7"/>
    <w:basedOn w:val="Normal"/>
    <w:uiPriority w:val="99"/>
    <w:qFormat/>
    <w:rsid w:val="00a50486"/>
    <w:pPr>
      <w:spacing w:lineRule="exact" w:line="230"/>
      <w:jc w:val="center"/>
    </w:pPr>
    <w:rPr/>
  </w:style>
  <w:style w:type="paragraph" w:styleId="Style81" w:customStyle="1">
    <w:name w:val="Style8"/>
    <w:basedOn w:val="Normal"/>
    <w:uiPriority w:val="99"/>
    <w:qFormat/>
    <w:rsid w:val="00a50486"/>
    <w:pPr>
      <w:spacing w:lineRule="exact" w:line="298"/>
      <w:ind w:firstLine="168"/>
      <w:jc w:val="both"/>
    </w:pPr>
    <w:rPr/>
  </w:style>
  <w:style w:type="paragraph" w:styleId="Style91" w:customStyle="1">
    <w:name w:val="Style9"/>
    <w:basedOn w:val="Normal"/>
    <w:uiPriority w:val="99"/>
    <w:qFormat/>
    <w:rsid w:val="00a50486"/>
    <w:pPr/>
    <w:rPr/>
  </w:style>
  <w:style w:type="paragraph" w:styleId="Style26">
    <w:name w:val="Body Text Indent"/>
    <w:basedOn w:val="Normal"/>
    <w:rsid w:val="00a50486"/>
    <w:pPr>
      <w:spacing w:beforeAutospacing="1" w:afterAutospacing="1"/>
    </w:pPr>
    <w:rPr>
      <w:color w:val="000000"/>
    </w:rPr>
  </w:style>
  <w:style w:type="paragraph" w:styleId="BodyTextIndent2">
    <w:name w:val="Body Text Indent 2"/>
    <w:basedOn w:val="Normal"/>
    <w:uiPriority w:val="99"/>
    <w:unhideWhenUsed/>
    <w:qFormat/>
    <w:rsid w:val="00a50486"/>
    <w:pPr>
      <w:spacing w:lineRule="auto" w:line="480" w:before="0" w:after="120"/>
      <w:ind w:left="283" w:hanging="0"/>
    </w:pPr>
    <w:rPr/>
  </w:style>
  <w:style w:type="paragraph" w:styleId="ConsPlusNormal1" w:customStyle="1">
    <w:name w:val="ConsPlusNormal"/>
    <w:qFormat/>
    <w:rsid w:val="00a50486"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4"/>
      <w:szCs w:val="20"/>
      <w:lang w:val="ru-RU" w:eastAsia="ru-RU" w:bidi="ar-SA"/>
    </w:rPr>
  </w:style>
  <w:style w:type="paragraph" w:styleId="NoSpacing">
    <w:name w:val="No Spacing"/>
    <w:uiPriority w:val="1"/>
    <w:qFormat/>
    <w:rsid w:val="004248dd"/>
    <w:pPr>
      <w:widowControl/>
      <w:suppressAutoHyphens w:val="true"/>
      <w:bidi w:val="0"/>
      <w:spacing w:before="0" w:after="0"/>
      <w:ind w:firstLine="567"/>
      <w:jc w:val="both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21" w:customStyle="1">
    <w:name w:val="Обычный2"/>
    <w:qFormat/>
    <w:rsid w:val="00ec62d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Style27" w:customStyle="1">
    <w:name w:val="Пункт"/>
    <w:basedOn w:val="Normal"/>
    <w:qFormat/>
    <w:rsid w:val="005e7d88"/>
    <w:pPr>
      <w:tabs>
        <w:tab w:val="clear" w:pos="709"/>
        <w:tab w:val="left" w:pos="1980" w:leader="none"/>
      </w:tabs>
      <w:ind w:left="1404" w:hanging="504"/>
      <w:jc w:val="both"/>
    </w:pPr>
    <w:rPr/>
  </w:style>
  <w:style w:type="paragraph" w:styleId="NormalWeb">
    <w:name w:val="Normal (Web)"/>
    <w:basedOn w:val="Normal"/>
    <w:link w:val="a8"/>
    <w:uiPriority w:val="99"/>
    <w:qFormat/>
    <w:rsid w:val="009e3f29"/>
    <w:pPr>
      <w:spacing w:beforeAutospacing="1" w:after="119"/>
    </w:pPr>
    <w:rPr/>
  </w:style>
  <w:style w:type="paragraph" w:styleId="DefinitionTerm" w:customStyle="1">
    <w:name w:val="Definition Term"/>
    <w:basedOn w:val="Normal"/>
    <w:qFormat/>
    <w:rsid w:val="000c7da6"/>
    <w:pPr/>
    <w:rPr/>
  </w:style>
  <w:style w:type="paragraph" w:styleId="DefinitionList" w:customStyle="1">
    <w:name w:val="Definition List"/>
    <w:basedOn w:val="Normal"/>
    <w:qFormat/>
    <w:rsid w:val="000c7da6"/>
    <w:pPr>
      <w:ind w:left="360" w:hanging="0"/>
    </w:pPr>
    <w:rPr/>
  </w:style>
  <w:style w:type="paragraph" w:styleId="H1" w:customStyle="1">
    <w:name w:val="H1"/>
    <w:basedOn w:val="Normal"/>
    <w:qFormat/>
    <w:rsid w:val="000c7da6"/>
    <w:pPr>
      <w:keepNext w:val="true"/>
      <w:outlineLvl w:val="1"/>
    </w:pPr>
    <w:rPr>
      <w:b/>
      <w:kern w:val="2"/>
      <w:sz w:val="48"/>
    </w:rPr>
  </w:style>
  <w:style w:type="paragraph" w:styleId="H2" w:customStyle="1">
    <w:name w:val="H2"/>
    <w:basedOn w:val="Normal"/>
    <w:qFormat/>
    <w:rsid w:val="000c7da6"/>
    <w:pPr>
      <w:keepNext w:val="true"/>
      <w:outlineLvl w:val="2"/>
    </w:pPr>
    <w:rPr>
      <w:b/>
      <w:sz w:val="36"/>
    </w:rPr>
  </w:style>
  <w:style w:type="paragraph" w:styleId="H3" w:customStyle="1">
    <w:name w:val="H3"/>
    <w:basedOn w:val="Normal"/>
    <w:qFormat/>
    <w:rsid w:val="000c7da6"/>
    <w:pPr>
      <w:keepNext w:val="true"/>
      <w:outlineLvl w:val="3"/>
    </w:pPr>
    <w:rPr>
      <w:b/>
      <w:sz w:val="28"/>
    </w:rPr>
  </w:style>
  <w:style w:type="paragraph" w:styleId="H4" w:customStyle="1">
    <w:name w:val="H4"/>
    <w:basedOn w:val="Normal"/>
    <w:qFormat/>
    <w:rsid w:val="000c7da6"/>
    <w:pPr>
      <w:keepNext w:val="true"/>
      <w:outlineLvl w:val="4"/>
    </w:pPr>
    <w:rPr>
      <w:b/>
    </w:rPr>
  </w:style>
  <w:style w:type="paragraph" w:styleId="H5" w:customStyle="1">
    <w:name w:val="H5"/>
    <w:basedOn w:val="Normal"/>
    <w:qFormat/>
    <w:rsid w:val="000c7da6"/>
    <w:pPr>
      <w:keepNext w:val="true"/>
      <w:outlineLvl w:val="5"/>
    </w:pPr>
    <w:rPr>
      <w:b/>
      <w:sz w:val="20"/>
    </w:rPr>
  </w:style>
  <w:style w:type="paragraph" w:styleId="H6" w:customStyle="1">
    <w:name w:val="H6"/>
    <w:basedOn w:val="Normal"/>
    <w:qFormat/>
    <w:rsid w:val="000c7da6"/>
    <w:pPr>
      <w:keepNext w:val="true"/>
      <w:outlineLvl w:val="6"/>
    </w:pPr>
    <w:rPr>
      <w:b/>
      <w:sz w:val="16"/>
    </w:rPr>
  </w:style>
  <w:style w:type="paragraph" w:styleId="Address" w:customStyle="1">
    <w:name w:val="Address"/>
    <w:basedOn w:val="Normal"/>
    <w:qFormat/>
    <w:rsid w:val="000c7da6"/>
    <w:pPr/>
    <w:rPr>
      <w:i/>
    </w:rPr>
  </w:style>
  <w:style w:type="paragraph" w:styleId="Blockquote" w:customStyle="1">
    <w:name w:val="Blockquote"/>
    <w:basedOn w:val="Normal"/>
    <w:qFormat/>
    <w:rsid w:val="000c7da6"/>
    <w:pPr>
      <w:ind w:left="360" w:right="360" w:hanging="0"/>
    </w:pPr>
    <w:rPr/>
  </w:style>
  <w:style w:type="paragraph" w:styleId="Preformatted" w:customStyle="1">
    <w:name w:val="Preformatted"/>
    <w:basedOn w:val="Normal"/>
    <w:qFormat/>
    <w:rsid w:val="000c7da6"/>
    <w:pPr>
      <w:tabs>
        <w:tab w:val="clear" w:pos="709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 w:customStyle="1">
    <w:name w:val="z-Bottom of Form"/>
    <w:qFormat/>
    <w:rsid w:val="000c7da6"/>
    <w:pPr>
      <w:widowControl/>
      <w:pBdr>
        <w:top w:val="double" w:sz="2" w:space="0" w:color="000000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ZTopofForm" w:customStyle="1">
    <w:name w:val="z-Top of Form"/>
    <w:qFormat/>
    <w:rsid w:val="000c7da6"/>
    <w:pPr>
      <w:widowControl/>
      <w:pBdr>
        <w:bottom w:val="double" w:sz="2" w:space="0" w:color="000000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Style28" w:customStyle="1">
    <w:name w:val="Содержимое таблицы"/>
    <w:basedOn w:val="Normal"/>
    <w:qFormat/>
    <w:rsid w:val="000c7da6"/>
    <w:pPr>
      <w:suppressLineNumbers/>
    </w:pPr>
    <w:rPr/>
  </w:style>
  <w:style w:type="paragraph" w:styleId="Style29" w:customStyle="1">
    <w:name w:val="Заголовок таблицы"/>
    <w:basedOn w:val="Style28"/>
    <w:qFormat/>
    <w:rsid w:val="000c7da6"/>
    <w:pPr>
      <w:jc w:val="center"/>
    </w:pPr>
    <w:rPr>
      <w:b/>
      <w:bCs/>
    </w:rPr>
  </w:style>
  <w:style w:type="paragraph" w:styleId="Style30" w:customStyle="1">
    <w:name w:val="Содержимое таблицы по центру"/>
    <w:basedOn w:val="Style28"/>
    <w:qFormat/>
    <w:rsid w:val="000c7da6"/>
    <w:pPr>
      <w:suppressAutoHyphens w:val="false"/>
      <w:jc w:val="center"/>
    </w:pPr>
    <w:rPr>
      <w:rFonts w:ascii="Liberation Serif" w:hAnsi="Liberation Serif" w:eastAsia="NSimSun"/>
      <w:color w:val="00000A"/>
      <w:lang w:eastAsia="zh-CN"/>
    </w:rPr>
  </w:style>
  <w:style w:type="paragraph" w:styleId="Style31">
    <w:name w:val="Обычный"/>
    <w:qFormat/>
    <w:pPr>
      <w:widowControl/>
      <w:suppressAutoHyphens w:val="true"/>
      <w:bidi w:val="0"/>
      <w:spacing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f5">
    <w:name w:val="Table Grid"/>
    <w:basedOn w:val="a1"/>
    <w:uiPriority w:val="59"/>
    <w:rsid w:val="006566cf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9C31DDD6E3DF0C84BC9792FDC6569EB162B84D3676B7382450C78116D683C6CC651EA28A78F0B6B9BCAF7FB8ABCB1224C023DE3F82BF8CB9GFXAL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485C454A-C296-4D0E-B32E-75E634B73D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258</TotalTime>
  <Application>LibreOffice/6.4.3.2$Windows_x86 LibreOffice_project/747b5d0ebf89f41c860ec2a39efd7cb15b54f2d8</Application>
  <Pages>3</Pages>
  <Words>504</Words>
  <Characters>3990</Characters>
  <CharactersWithSpaces>4463</CharactersWithSpaces>
  <Paragraphs>100</Paragraphs>
  <Company>Комитетпоуправлению имуществом Курской области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2020-12-08T12:39:00Z</dcterms:created>
  <dc:creator>ZAK16</dc:creator>
  <dc:description/>
  <dc:language>ru-RU</dc:language>
  <cp:lastModifiedBy/>
  <cp:lastPrinted>2020-12-08T09:48:00Z</cp:lastPrinted>
  <dcterms:modified xsi:type="dcterms:W3CDTF">2021-04-28T10:29:37Z</dcterms:modified>
  <cp:revision>104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