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03.1-4/2270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реагентов диагностических"</w:t>
      </w:r>
    </w:p>
    <w:p>
      <w:pPr>
        <w:pStyle w:val="Normal"/>
        <w:widowControl w:val="false"/>
        <w:suppressLineNumbers/>
        <w:spacing w:lineRule="atLeast" w:line="100" w:before="0" w:after="0"/>
        <w:ind w:right="-425" w:hanging="0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 w:eastAsia="zh-CN"/>
        </w:rPr>
        <w:t xml:space="preserve">Регистрационный номер </w:t>
      </w:r>
      <w:r>
        <w:rPr>
          <w:rFonts w:eastAsia="Times New Roman" w:ascii="Times New Roman" w:hAnsi="Times New Roman"/>
          <w:b/>
          <w:bCs/>
          <w:color w:val="000000"/>
          <w:kern w:val="2"/>
          <w:sz w:val="20"/>
          <w:szCs w:val="20"/>
          <w:lang w:val="en-US" w:eastAsia="ar-SA"/>
        </w:rPr>
        <w:t>09-05/25982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21 0)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212462904015746320100100340052120244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96 296,74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Савенкова Наталья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"РЕМИ" / 5260196058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59 518,00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 / 7729468992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"РЕМИ", предложивший цену контракта 59 518,00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"РЕМИ",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3</Pages>
  <Words>608</Words>
  <Characters>4891</Characters>
  <CharactersWithSpaces>5330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2021-05-18T14:18:20Z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