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(отведения для электрокардиографии, многоразового использования, электроды для электрокардио-графии, многоразового использования, прижимные электроды для электрокардиографии, многоразового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 </w:t>
      </w:r>
      <w:r>
        <w:rPr>
          <w:rFonts w:eastAsia="Times New Roman"/>
          <w:b/>
          <w:bCs/>
          <w:sz w:val="20"/>
          <w:szCs w:val="20"/>
          <w:lang w:val="en-US"/>
        </w:rPr>
        <w:t>03. 1-4/2661</w:t>
      </w:r>
    </w:p>
    <w:p>
      <w:pPr>
        <w:pStyle w:val="Style25"/>
        <w:spacing w:before="0" w:after="0"/>
        <w:ind w:firstLine="567"/>
        <w:jc w:val="center"/>
        <w:rPr>
          <w:b/>
          <w:b/>
        </w:rPr>
      </w:pPr>
      <w:r>
        <w:rPr>
          <w:b/>
          <w:sz w:val="20"/>
          <w:szCs w:val="20"/>
          <w:lang w:val="en-US"/>
        </w:rPr>
        <w:t>(Регистрационный номер 09-05/26452  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09.06.21 15:17:09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(отведения для электрокардиографии, многоразового использования, электроды для электрокардио-графии, многоразового использования, прижимные электроды для электрокардиографии, многоразового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212462904774846320100100450012660244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285 900,00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188 694,00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 / 1831182168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202 989,00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 / 1840014089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250 162,50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267 316,50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EA-96688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"ИЖМЕДИКАЛ"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"УРАЛМЕДСНАБ 18"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EA-96735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БРОКЕР КОНСАЛТИНГ", предложивший цену контракта 188 694,00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БРОКЕР КОНСАЛТИНГ",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firstLine="567"/>
        <w:jc w:val="both"/>
        <w:rPr>
          <w:sz w:val="22"/>
          <w:szCs w:val="22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keepNext w:val="false"/>
      <w:keepLines w:val="false"/>
      <w:pageBreakBefore w:val="false"/>
      <w:widowControl/>
      <w:suppressAutoHyphens w:val="true"/>
      <w:overflowPunct w:val="true"/>
      <w:bidi w:val="0"/>
      <w:snapToGrid w:val="true"/>
      <w:spacing w:lineRule="auto" w:line="240" w:before="0" w:after="60"/>
      <w:jc w:val="both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793</Words>
  <Characters>6508</Characters>
  <CharactersWithSpaces>7091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2021-06-09T15:27:35Z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