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№03.3-4/1862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"Приобретение программных и аппаратных средств защиты информации в том числе криптографической (приобретение и (или) внедрение програмно-аппаратного (программного) комплекса криптографической защиты информации ViPNet Client"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0744200000221004255) </w:t>
      </w:r>
    </w:p>
    <w:tbl>
      <w:tblPr>
        <w:tblStyle w:val="af"/>
        <w:tblW w:w="992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67"/>
        <w:gridCol w:w="5358"/>
      </w:tblGrid>
      <w:tr>
        <w:trPr/>
        <w:tc>
          <w:tcPr>
            <w:tcW w:w="4567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г. Курск</w:t>
            </w:r>
          </w:p>
        </w:tc>
        <w:tc>
          <w:tcPr>
            <w:tcW w:w="5358" w:type="dxa"/>
            <w:tcBorders/>
          </w:tcPr>
          <w:p>
            <w:pPr>
              <w:pStyle w:val="Style26"/>
              <w:widowControl w:val="false"/>
              <w:spacing w:beforeAutospacing="0" w:before="0" w:afterAutospacing="0" w:after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07</w:t>
            </w:r>
            <w:r>
              <w:rPr>
                <w:rFonts w:eastAsia="Calibri" w:cs="Times New Roman"/>
                <w:color w:val="000000"/>
                <w:kern w:val="0"/>
                <w:sz w:val="16"/>
                <w:szCs w:val="16"/>
                <w:lang w:val="ru-RU" w:eastAsia="ru-RU" w:bidi="ar-SA"/>
              </w:rPr>
              <w:t>»</w:t>
            </w:r>
            <w:r>
              <w:rPr>
                <w:color w:val="auto"/>
                <w:sz w:val="16"/>
                <w:szCs w:val="16"/>
              </w:rPr>
              <w:t xml:space="preserve"> </w:t>
            </w:r>
            <w:r>
              <w:rPr>
                <w:rFonts w:eastAsia="Calibri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июля</w:t>
            </w:r>
            <w:r>
              <w:rPr>
                <w:color w:val="auto"/>
                <w:sz w:val="16"/>
                <w:szCs w:val="16"/>
              </w:rPr>
              <w:t xml:space="preserve"> 2021 года</w:t>
            </w:r>
          </w:p>
        </w:tc>
      </w:tr>
      <w:tr>
        <w:trPr/>
        <w:tc>
          <w:tcPr>
            <w:tcW w:w="4567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Arial" w:cs="Courier New"/>
                <w:bCs/>
                <w:color w:val="auto"/>
                <w:kern w:val="0"/>
                <w:sz w:val="16"/>
                <w:szCs w:val="16"/>
                <w:lang w:val="ru-RU" w:eastAsia="en-US" w:bidi="ar-SA"/>
              </w:rPr>
            </w:pPr>
            <w:r>
              <w:rPr>
                <w:rFonts w:eastAsia="Arial" w:cs="Courier New"/>
                <w:bCs/>
                <w:color w:val="auto"/>
                <w:kern w:val="0"/>
                <w:sz w:val="16"/>
                <w:szCs w:val="16"/>
                <w:lang w:val="ru-RU" w:eastAsia="en-US" w:bidi="ar-SA"/>
              </w:rPr>
              <w:t>Красная площадь, 6</w:t>
            </w:r>
          </w:p>
        </w:tc>
        <w:tc>
          <w:tcPr>
            <w:tcW w:w="5358" w:type="dxa"/>
            <w:tcBorders/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16.10</w:t>
            </w:r>
            <w:r>
              <w:rPr>
                <w:bCs/>
                <w:sz w:val="16"/>
                <w:szCs w:val="16"/>
              </w:rPr>
              <w:t xml:space="preserve"> (время московское)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BodyTextIndent2"/>
        <w:spacing w:lineRule="auto" w:line="240" w:before="0" w:after="0"/>
        <w:ind w:left="0" w:hanging="0"/>
        <w:jc w:val="center"/>
        <w:rPr>
          <w:rFonts w:eastAsia="Times New Roman"/>
          <w:b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center"/>
        <w:rPr>
          <w:rFonts w:eastAsia="Times New Roman"/>
          <w:b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2"/>
        <w:gridCol w:w="4965"/>
      </w:tblGrid>
      <w:tr>
        <w:trPr/>
        <w:tc>
          <w:tcPr>
            <w:tcW w:w="496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96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</w:tr>
      <w:tr>
        <w:trPr/>
        <w:tc>
          <w:tcPr>
            <w:tcW w:w="496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Петинова Светлана Анатольевна</w:t>
            </w:r>
          </w:p>
        </w:tc>
      </w:tr>
      <w:tr>
        <w:trPr/>
        <w:tc>
          <w:tcPr>
            <w:tcW w:w="496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Гринь Владимир Александрович</w:t>
            </w:r>
          </w:p>
        </w:tc>
      </w:tr>
      <w:tr>
        <w:trPr/>
        <w:tc>
          <w:tcPr>
            <w:tcW w:w="496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Жидкова Галина Ивановна</w:t>
            </w:r>
          </w:p>
        </w:tc>
      </w:tr>
      <w:tr>
        <w:trPr/>
        <w:tc>
          <w:tcPr>
            <w:tcW w:w="496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</w:tr>
      <w:tr>
        <w:trPr/>
        <w:tc>
          <w:tcPr>
            <w:tcW w:w="496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Васильева Любовь Владимировна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firstLine="312"/>
        <w:jc w:val="both"/>
        <w:rPr/>
      </w:pPr>
      <w:r>
        <w:rPr>
          <w:rFonts w:eastAsia="Times New Roman"/>
          <w:sz w:val="20"/>
          <w:szCs w:val="20"/>
        </w:rPr>
        <w:t xml:space="preserve">На заседании комиссии присутствовало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7</w:t>
      </w:r>
      <w:r>
        <w:rPr>
          <w:rFonts w:eastAsia="Times New Roman"/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Normal"/>
        <w:ind w:left="0" w:right="0" w:firstLine="312"/>
        <w:rPr/>
      </w:pPr>
      <w:r>
        <w:rPr>
          <w:rFonts w:eastAsia="Times New Roman"/>
          <w:b/>
          <w:bCs/>
          <w:i/>
          <w:iCs/>
          <w:sz w:val="20"/>
          <w:szCs w:val="20"/>
        </w:rPr>
        <w:t>Наименование</w:t>
      </w:r>
      <w:r>
        <w:rPr>
          <w:rFonts w:eastAsia="Times New Roman"/>
          <w:b/>
          <w:bCs/>
          <w:i/>
          <w:i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i/>
          <w:iCs/>
          <w:sz w:val="20"/>
          <w:szCs w:val="20"/>
        </w:rPr>
        <w:t>закупки</w:t>
      </w:r>
      <w:r>
        <w:rPr>
          <w:rFonts w:eastAsia="Times New Roman"/>
          <w:b/>
          <w:bCs/>
          <w:i/>
          <w:iCs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Приобретение программных и аппаратных средств защиты информации в том числе криптографической (приобретение и (или) внедрение програмно-аппаратного (программного) комплекса криптографической защиты информации ViPNet Client </w:t>
      </w:r>
    </w:p>
    <w:p>
      <w:pPr>
        <w:pStyle w:val="Normal"/>
        <w:ind w:left="0" w:right="0" w:firstLine="312"/>
        <w:rPr/>
      </w:pPr>
      <w:r>
        <w:rPr>
          <w:rFonts w:eastAsia="Times New Roman"/>
          <w:b/>
          <w:bCs/>
          <w:i/>
          <w:iCs/>
          <w:sz w:val="20"/>
          <w:szCs w:val="20"/>
          <w:lang w:val="ru-RU"/>
        </w:rPr>
        <w:t>Идентификационный код закупки:</w:t>
      </w:r>
      <w:r>
        <w:rPr>
          <w:rFonts w:eastAsia="Times New Roman"/>
          <w:sz w:val="20"/>
          <w:szCs w:val="20"/>
          <w:lang w:val="ru-RU"/>
        </w:rPr>
        <w:t xml:space="preserve"> 212462400270446240100100450015829244</w:t>
      </w:r>
    </w:p>
    <w:p>
      <w:pPr>
        <w:pStyle w:val="Normal"/>
        <w:ind w:left="0" w:right="0" w:firstLine="312"/>
        <w:rPr/>
      </w:pPr>
      <w:r>
        <w:rPr>
          <w:rFonts w:eastAsia="Times New Roman"/>
          <w:b/>
          <w:bCs/>
          <w:i/>
          <w:iCs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b/>
          <w:bCs/>
          <w:i/>
          <w:iCs/>
          <w:sz w:val="20"/>
          <w:szCs w:val="20"/>
        </w:rPr>
        <w:t>12 000 (Двенадцать тысяч) рублей 00 копеек.</w:t>
      </w:r>
    </w:p>
    <w:p>
      <w:pPr>
        <w:pStyle w:val="Style41"/>
        <w:ind w:left="0" w:right="0" w:firstLine="284"/>
        <w:jc w:val="both"/>
        <w:rPr/>
      </w:pPr>
      <w:r>
        <w:rPr>
          <w:rStyle w:val="FontStyle13"/>
          <w:sz w:val="20"/>
          <w:szCs w:val="20"/>
          <w:lang w:val="ru-RU"/>
        </w:rPr>
        <w:t xml:space="preserve">По окончании срока подачи заявок до </w:t>
      </w:r>
      <w:r>
        <w:rPr>
          <w:rStyle w:val="FontStyle13"/>
          <w:rFonts w:eastAsia="" w:cs="Times New Roman" w:eastAsiaTheme="minorEastAsia"/>
          <w:color w:val="00000A"/>
          <w:kern w:val="2"/>
          <w:sz w:val="20"/>
          <w:szCs w:val="20"/>
          <w:lang w:val="ru-RU" w:eastAsia="ru-RU" w:bidi="ar-SA"/>
        </w:rPr>
        <w:t>0</w:t>
      </w:r>
      <w:r>
        <w:rPr>
          <w:rStyle w:val="FontStyle13"/>
          <w:rFonts w:eastAsia="" w:cs="Times New Roman" w:eastAsiaTheme="minorEastAsia"/>
          <w:color w:val="00000A"/>
          <w:kern w:val="2"/>
          <w:sz w:val="20"/>
          <w:szCs w:val="20"/>
          <w:lang w:val="ru-RU" w:eastAsia="ru-RU" w:bidi="ar-SA"/>
        </w:rPr>
        <w:t>7</w:t>
      </w:r>
      <w:r>
        <w:rPr>
          <w:rStyle w:val="FontStyle13"/>
          <w:rFonts w:eastAsia="" w:cs="Times New Roman" w:eastAsiaTheme="minorEastAsia"/>
          <w:color w:val="00000A"/>
          <w:kern w:val="2"/>
          <w:sz w:val="20"/>
          <w:szCs w:val="20"/>
          <w:lang w:val="ru-RU" w:eastAsia="ru-RU" w:bidi="ar-SA"/>
        </w:rPr>
        <w:t>.07.</w:t>
      </w:r>
      <w:r>
        <w:rPr>
          <w:rStyle w:val="FontStyle13"/>
          <w:rFonts w:eastAsia="" w:cs="Times New Roman"/>
          <w:color w:val="00000A"/>
          <w:kern w:val="2"/>
          <w:sz w:val="20"/>
          <w:szCs w:val="20"/>
          <w:lang w:val="ru-RU" w:eastAsia="ru-RU" w:bidi="ar-SA"/>
        </w:rPr>
        <w:t>2021</w:t>
      </w:r>
      <w:r>
        <w:rPr>
          <w:rStyle w:val="FontStyle13"/>
          <w:sz w:val="20"/>
          <w:szCs w:val="20"/>
          <w:lang w:val="ru-RU"/>
        </w:rPr>
        <w:t xml:space="preserve"> г.</w:t>
      </w:r>
      <w:r>
        <w:rPr>
          <w:rStyle w:val="FontStyle13"/>
          <w:color w:val="000000"/>
          <w:sz w:val="20"/>
          <w:szCs w:val="20"/>
          <w:lang w:val="ru-RU"/>
        </w:rPr>
        <w:t xml:space="preserve"> </w:t>
      </w:r>
      <w:r>
        <w:rPr>
          <w:rStyle w:val="FontStyle13"/>
          <w:rFonts w:eastAsia="Times New Roman" w:cs="Times New Roman"/>
          <w:color w:val="000000"/>
          <w:kern w:val="2"/>
          <w:sz w:val="20"/>
          <w:szCs w:val="20"/>
          <w:lang w:val="ru-RU" w:eastAsia="ru-RU" w:bidi="ar-SA"/>
        </w:rPr>
        <w:t>09</w:t>
      </w:r>
      <w:r>
        <w:rPr>
          <w:rStyle w:val="FontStyle13"/>
          <w:color w:val="000000"/>
          <w:sz w:val="20"/>
          <w:szCs w:val="20"/>
          <w:lang w:val="ru-RU"/>
        </w:rPr>
        <w:t xml:space="preserve"> часов 00 м</w:t>
      </w:r>
      <w:r>
        <w:rPr>
          <w:rStyle w:val="FontStyle13"/>
          <w:sz w:val="20"/>
          <w:szCs w:val="20"/>
          <w:lang w:val="ru-RU"/>
        </w:rPr>
        <w:t xml:space="preserve">инут (время московское) была подана единственная заявка от участника закупки, с идентификационным номером: </w:t>
      </w:r>
      <w:r>
        <w:rPr>
          <w:rStyle w:val="FontStyle13"/>
          <w:sz w:val="20"/>
          <w:szCs w:val="20"/>
        </w:rPr>
        <w:t>EA</w:t>
      </w:r>
      <w:r>
        <w:rPr>
          <w:rStyle w:val="FontStyle13"/>
          <w:sz w:val="20"/>
          <w:szCs w:val="20"/>
          <w:lang w:val="ru-RU"/>
        </w:rPr>
        <w:t>-</w:t>
      </w:r>
      <w:r>
        <w:rPr>
          <w:rStyle w:val="FontStyle13"/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102</w:t>
      </w:r>
      <w:r>
        <w:rPr>
          <w:rStyle w:val="FontStyle13"/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523</w:t>
      </w:r>
      <w:r>
        <w:rPr>
          <w:rStyle w:val="FontStyle13"/>
          <w:sz w:val="20"/>
          <w:szCs w:val="20"/>
          <w:lang w:val="ru-RU"/>
        </w:rPr>
        <w:t>.</w:t>
      </w:r>
    </w:p>
    <w:p>
      <w:pPr>
        <w:pStyle w:val="Style41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284"/>
        <w:jc w:val="both"/>
        <w:rPr>
          <w:rFonts w:eastAsia="Times New Roman"/>
          <w:sz w:val="20"/>
          <w:szCs w:val="20"/>
          <w:lang w:val="en-US"/>
        </w:rPr>
      </w:pPr>
      <w:r>
        <w:rPr>
          <w:rStyle w:val="FontStyle13"/>
          <w:rFonts w:eastAsia="Times New Roman" w:cs="Times New Roman"/>
          <w:sz w:val="20"/>
          <w:szCs w:val="20"/>
          <w:lang w:val="ru-RU" w:eastAsia="ru-RU"/>
        </w:rPr>
        <w:t>Аукционная</w:t>
      </w:r>
      <w:r>
        <w:rPr>
          <w:rStyle w:val="FontStyle13"/>
          <w:rFonts w:eastAsia="Times New Roman" w:cs="Times New Roman"/>
          <w:sz w:val="20"/>
          <w:szCs w:val="20"/>
          <w:lang w:val="ru-RU"/>
        </w:rPr>
        <w:t xml:space="preserve"> комиссия рассмотрела единственную заявку участника закупки и документы, предусмотренные частью 11 статьи 24.1 Закона № 44-ФЗ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 об аукционе в электронной форме </w:t>
      </w:r>
      <w:r>
        <w:rPr>
          <w:rStyle w:val="FontStyle13"/>
          <w:rFonts w:eastAsia="Times New Roman" w:cs="Times New Roman"/>
          <w:b/>
          <w:bCs/>
          <w:sz w:val="20"/>
          <w:szCs w:val="20"/>
          <w:lang w:val="ru-RU" w:eastAsia="ru-RU"/>
        </w:rPr>
        <w:t>074420000022000</w:t>
      </w:r>
      <w:r>
        <w:rPr>
          <w:rStyle w:val="FontStyle13"/>
          <w:rFonts w:eastAsia="Times New Roman" w:cs="Times New Roman"/>
          <w:b/>
          <w:bCs/>
          <w:sz w:val="20"/>
          <w:szCs w:val="20"/>
          <w:lang w:val="ru-RU" w:eastAsia="ru-RU"/>
        </w:rPr>
        <w:t>4</w:t>
      </w:r>
      <w:r>
        <w:rPr>
          <w:rStyle w:val="FontStyle13"/>
          <w:rFonts w:eastAsia="Times New Roman" w:cs="Times New Roman"/>
          <w:b/>
          <w:bCs/>
          <w:color w:val="00000A"/>
          <w:kern w:val="2"/>
          <w:sz w:val="20"/>
          <w:szCs w:val="20"/>
          <w:lang w:val="ru-RU" w:eastAsia="ru-RU" w:bidi="ar-SA"/>
        </w:rPr>
        <w:t xml:space="preserve">255 </w:t>
      </w:r>
      <w:r>
        <w:rPr>
          <w:rFonts w:eastAsia="Times New Roman" w:cs="Times New Roman"/>
          <w:sz w:val="20"/>
          <w:szCs w:val="20"/>
          <w:lang w:val="ru-RU"/>
        </w:rPr>
        <w:t>и приняла решение:</w:t>
      </w:r>
    </w:p>
    <w:p>
      <w:pPr>
        <w:pStyle w:val="Style41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284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5"/>
        <w:gridCol w:w="2265"/>
        <w:gridCol w:w="3690"/>
        <w:gridCol w:w="1247"/>
        <w:gridCol w:w="1985"/>
      </w:tblGrid>
      <w:tr>
        <w:trPr/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№</w:t>
            </w:r>
            <w:r>
              <w:rPr>
                <w:b/>
                <w:bCs/>
                <w:sz w:val="16"/>
                <w:szCs w:val="16"/>
              </w:rPr>
              <w:t>п/п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Идентификационный номер закупки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Участник закупки / ИНН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4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Обоснование решения</w:t>
            </w:r>
          </w:p>
        </w:tc>
      </w:tr>
      <w:tr>
        <w:trPr/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ЕА-10523</w:t>
            </w:r>
          </w:p>
        </w:tc>
        <w:tc>
          <w:tcPr>
            <w:tcW w:w="3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 с ограниченной ответственностью «ТЕХНО-ЩИТ»/ 4632152654</w:t>
            </w:r>
          </w:p>
        </w:tc>
        <w:tc>
          <w:tcPr>
            <w:tcW w:w="12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Соответствует требованиям </w:t>
            </w:r>
          </w:p>
        </w:tc>
      </w:tr>
    </w:tbl>
    <w:p>
      <w:pPr>
        <w:pStyle w:val="Normal"/>
        <w:ind w:left="-45" w:right="0" w:hanging="0"/>
        <w:jc w:val="center"/>
        <w:rPr>
          <w:rFonts w:eastAsia="Times New Roman"/>
          <w:b/>
          <w:b/>
          <w:bCs/>
          <w:i/>
          <w:i/>
          <w:iCs/>
          <w:sz w:val="16"/>
          <w:szCs w:val="16"/>
          <w:u w:val="single"/>
        </w:rPr>
      </w:pPr>
      <w:r>
        <w:rPr/>
      </w:r>
    </w:p>
    <w:p>
      <w:pPr>
        <w:pStyle w:val="Normal"/>
        <w:ind w:left="-45" w:right="0" w:hanging="0"/>
        <w:jc w:val="center"/>
        <w:rPr>
          <w:rFonts w:eastAsia="Times New Roman"/>
          <w:b/>
          <w:b/>
          <w:bCs/>
          <w:i/>
          <w:i/>
          <w:iCs/>
          <w:sz w:val="16"/>
          <w:szCs w:val="16"/>
          <w:u w:val="single"/>
        </w:rPr>
      </w:pPr>
      <w:r>
        <w:rPr>
          <w:rFonts w:eastAsia="Times New Roman"/>
          <w:b/>
          <w:bCs/>
          <w:i/>
          <w:iCs/>
          <w:sz w:val="16"/>
          <w:szCs w:val="16"/>
          <w:u w:val="single"/>
        </w:rPr>
        <w:t>Сведения о решении каждого члена аукционной комиссии:</w:t>
      </w:r>
    </w:p>
    <w:p>
      <w:pPr>
        <w:pStyle w:val="Normal"/>
        <w:ind w:left="-45" w:right="0" w:hanging="0"/>
        <w:jc w:val="center"/>
        <w:rPr>
          <w:rFonts w:eastAsia="Times New Roman"/>
          <w:b/>
          <w:b/>
          <w:bCs/>
          <w:i/>
          <w:i/>
          <w:iCs/>
          <w:sz w:val="16"/>
          <w:szCs w:val="16"/>
          <w:u w:val="single"/>
        </w:rPr>
      </w:pPr>
      <w:r>
        <w:rPr>
          <w:rFonts w:eastAsia="Times New Roman"/>
          <w:b/>
          <w:bCs/>
          <w:i/>
          <w:iCs/>
          <w:sz w:val="16"/>
          <w:szCs w:val="16"/>
          <w:u w:val="single"/>
        </w:rPr>
      </w:r>
    </w:p>
    <w:tbl>
      <w:tblPr>
        <w:tblW w:w="10087" w:type="dxa"/>
        <w:jc w:val="left"/>
        <w:tblInd w:w="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5"/>
        <w:gridCol w:w="1362"/>
        <w:gridCol w:w="6990"/>
      </w:tblGrid>
      <w:tr>
        <w:trPr/>
        <w:tc>
          <w:tcPr>
            <w:tcW w:w="1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16"/>
                <w:szCs w:val="16"/>
                <w:lang w:val="ru-RU"/>
              </w:rPr>
              <w:t>Фамилия И.О. членов комиссии</w:t>
            </w:r>
          </w:p>
        </w:tc>
        <w:tc>
          <w:tcPr>
            <w:tcW w:w="8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ru-RU" w:eastAsia="ru-RU"/>
              </w:rPr>
              <w:t>ООО «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2"/>
                <w:sz w:val="16"/>
                <w:szCs w:val="16"/>
                <w:lang w:val="ru-RU" w:eastAsia="ru-RU" w:bidi="ar-SA"/>
              </w:rPr>
              <w:t>ТЕХНО-ЩИТ</w:t>
            </w:r>
            <w:r>
              <w:rPr>
                <w:rFonts w:cs="Times New Roman"/>
                <w:b/>
                <w:bCs/>
                <w:sz w:val="16"/>
                <w:szCs w:val="16"/>
                <w:lang w:val="ru-RU" w:eastAsia="ru-RU"/>
              </w:rPr>
              <w:t>»</w:t>
            </w:r>
            <w:r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 xml:space="preserve"> / </w:t>
            </w:r>
            <w:r>
              <w:rPr>
                <w:rFonts w:eastAsia="" w:cs="Times New Roman"/>
                <w:b/>
                <w:bCs/>
                <w:color w:val="00000A"/>
                <w:kern w:val="2"/>
                <w:sz w:val="16"/>
                <w:szCs w:val="16"/>
                <w:lang w:val="ru-RU" w:eastAsia="ru-RU" w:bidi="ar-SA"/>
              </w:rPr>
              <w:t>4632152654</w:t>
            </w:r>
          </w:p>
        </w:tc>
      </w:tr>
      <w:tr>
        <w:trPr/>
        <w:tc>
          <w:tcPr>
            <w:tcW w:w="17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</w:r>
          </w:p>
        </w:tc>
        <w:tc>
          <w:tcPr>
            <w:tcW w:w="8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Заявка №</w:t>
            </w:r>
            <w:r>
              <w:rPr>
                <w:rFonts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  <w:r>
              <w:rPr>
                <w:rFonts w:cs="Times New Roman"/>
                <w:b/>
                <w:bCs/>
                <w:sz w:val="16"/>
                <w:szCs w:val="16"/>
              </w:rPr>
              <w:t>EA-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2"/>
                <w:sz w:val="16"/>
                <w:szCs w:val="16"/>
                <w:lang w:val="ru-RU" w:eastAsia="ru-RU" w:bidi="ar-SA"/>
              </w:rPr>
              <w:t>102523</w:t>
            </w:r>
          </w:p>
        </w:tc>
      </w:tr>
      <w:tr>
        <w:trPr/>
        <w:tc>
          <w:tcPr>
            <w:tcW w:w="17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16"/>
                <w:szCs w:val="16"/>
              </w:rPr>
              <w:t>Решение</w:t>
            </w:r>
          </w:p>
        </w:tc>
        <w:tc>
          <w:tcPr>
            <w:tcW w:w="6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16"/>
                <w:szCs w:val="16"/>
              </w:rPr>
              <w:t>Основание</w:t>
            </w:r>
          </w:p>
        </w:tc>
      </w:tr>
      <w:tr>
        <w:trPr/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Петинова Светлана Анатольевна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Гринь Владимир Александрович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Жидкова Галина Ивановна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Васильева Любовь Владимировна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16"/>
                <w:szCs w:val="16"/>
              </w:rPr>
              <w:t>ИТОГО</w:t>
            </w:r>
          </w:p>
        </w:tc>
        <w:tc>
          <w:tcPr>
            <w:tcW w:w="8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7</w:t>
            </w:r>
          </w:p>
        </w:tc>
      </w:tr>
      <w:tr>
        <w:trPr/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16"/>
                <w:szCs w:val="16"/>
              </w:rPr>
              <w:t>Допустить, признать участником аукциона</w:t>
            </w:r>
          </w:p>
        </w:tc>
        <w:tc>
          <w:tcPr>
            <w:tcW w:w="8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cs="Times New Roman"/>
                <w:sz w:val="16"/>
                <w:szCs w:val="16"/>
                <w:lang w:val="ru-RU"/>
              </w:rPr>
            </w:pPr>
            <w:r>
              <w:rPr>
                <w:rFonts w:cs="Times New Roman"/>
                <w:sz w:val="16"/>
                <w:szCs w:val="16"/>
                <w:lang w:val="ru-RU"/>
              </w:rPr>
              <w:t>7</w:t>
            </w:r>
          </w:p>
        </w:tc>
      </w:tr>
      <w:tr>
        <w:trPr/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16"/>
                <w:szCs w:val="16"/>
              </w:rPr>
              <w:t>Отказать в допуске</w:t>
            </w:r>
          </w:p>
        </w:tc>
        <w:tc>
          <w:tcPr>
            <w:tcW w:w="8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16"/>
                <w:szCs w:val="16"/>
              </w:rPr>
              <w:t>0</w:t>
            </w:r>
          </w:p>
        </w:tc>
      </w:tr>
    </w:tbl>
    <w:p>
      <w:pPr>
        <w:pStyle w:val="Normal"/>
        <w:ind w:left="-45" w:right="0" w:hanging="0"/>
        <w:jc w:val="center"/>
        <w:rPr>
          <w:rFonts w:eastAsia="Times New Roman"/>
          <w:b/>
          <w:b/>
          <w:bCs/>
          <w:i/>
          <w:i/>
          <w:iCs/>
          <w:sz w:val="16"/>
          <w:szCs w:val="16"/>
          <w:u w:val="single"/>
        </w:rPr>
      </w:pPr>
      <w:r>
        <w:rPr>
          <w:rFonts w:eastAsia="Times New Roman"/>
          <w:b/>
          <w:bCs/>
          <w:i/>
          <w:iCs/>
          <w:sz w:val="16"/>
          <w:szCs w:val="16"/>
          <w:u w:val="single"/>
          <w:lang w:val="en-US"/>
        </w:rPr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/>
      </w:r>
    </w:p>
    <w:tbl>
      <w:tblPr>
        <w:tblW w:w="10213" w:type="dxa"/>
        <w:jc w:val="left"/>
        <w:tblInd w:w="1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8513"/>
      </w:tblGrid>
      <w:tr>
        <w:trPr/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41"/>
              <w:widowControl w:val="false"/>
              <w:bidi w:val="0"/>
              <w:spacing w:before="100" w:after="100"/>
              <w:jc w:val="center"/>
              <w:rPr/>
            </w:pPr>
            <w:r>
              <w:rPr>
                <w:rStyle w:val="FontStyle13"/>
                <w:b/>
                <w:sz w:val="16"/>
                <w:szCs w:val="16"/>
                <w:lang w:val="ru-RU"/>
              </w:rPr>
              <w:t>Идентификационный номер заявки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bidi w:val="0"/>
              <w:spacing w:before="100" w:after="100"/>
              <w:jc w:val="center"/>
              <w:rPr/>
            </w:pPr>
            <w:r>
              <w:rPr>
                <w:rFonts w:eastAsia="Calibri" w:cs="Times New Roman"/>
                <w:b/>
                <w:bCs/>
                <w:i/>
                <w:iCs/>
                <w:sz w:val="16"/>
                <w:szCs w:val="16"/>
                <w:lang w:val="ru-RU"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41 аукционной документации в соответствии со </w:t>
            </w:r>
            <w:r>
              <w:rPr>
                <w:rStyle w:val="Style17"/>
                <w:rFonts w:eastAsia="Calibri" w:cs="Times New Roman"/>
                <w:b/>
                <w:bCs/>
                <w:i/>
                <w:iCs/>
                <w:sz w:val="16"/>
                <w:szCs w:val="16"/>
                <w:lang w:eastAsia="en-US"/>
              </w:rPr>
              <w:t>ст. 14</w:t>
            </w:r>
            <w:r>
              <w:rPr>
                <w:rFonts w:eastAsia="Calibri" w:cs="Times New Roman"/>
                <w:b/>
                <w:bCs/>
                <w:i/>
                <w:iCs/>
                <w:sz w:val="16"/>
                <w:szCs w:val="16"/>
                <w:lang w:val="ru-RU"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Arial" w:cs="Times New Roman"/>
                <w:b/>
                <w:b/>
                <w:bCs/>
                <w:i/>
                <w:i/>
                <w:iCs/>
                <w:color w:val="000000"/>
                <w:kern w:val="0"/>
                <w:sz w:val="16"/>
                <w:szCs w:val="16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u w:val="none"/>
                <w:lang w:val="ru-RU" w:eastAsia="zh-CN" w:bidi="ar-SA"/>
              </w:rPr>
              <w:t>№</w:t>
            </w:r>
            <w:r>
              <w:rPr>
                <w:rFonts w:eastAsia="Arial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u w:val="none"/>
                <w:lang w:val="ru-RU" w:eastAsia="zh-CN" w:bidi="ar-SA"/>
              </w:rPr>
              <w:t>ЕА- 102523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Arial" w:cs="Times New Roman"/>
                <w:b/>
                <w:bCs/>
                <w:i w:val="false"/>
                <w:iCs w:val="false"/>
                <w:color w:val="auto"/>
                <w:sz w:val="16"/>
                <w:szCs w:val="16"/>
                <w:lang w:val="ru-RU" w:eastAsia="zh-CN" w:bidi="ar-SA"/>
              </w:rPr>
              <w:t>Не со</w:t>
            </w:r>
            <w:r>
              <w:rPr>
                <w:rStyle w:val="FontStyle13"/>
                <w:rFonts w:eastAsia="Arial" w:cs="Times New Roman"/>
                <w:b/>
                <w:bCs/>
                <w:i w:val="false"/>
                <w:iCs w:val="false"/>
                <w:color w:val="auto"/>
                <w:sz w:val="16"/>
                <w:szCs w:val="16"/>
                <w:lang w:val="ru-RU" w:eastAsia="zh-CN" w:bidi="ar-SA"/>
              </w:rPr>
              <w:t>держит</w:t>
            </w:r>
          </w:p>
        </w:tc>
      </w:tr>
    </w:tbl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/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firstLine="312"/>
        <w:jc w:val="left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  <w:lang w:val="en-US"/>
        </w:rPr>
        <w:t>Протокол составлен в одном экземпляре, который хранится в ОКУ "Центр закупок Курской области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863" w:type="dxa"/>
        <w:jc w:val="left"/>
        <w:tblInd w:w="14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4610"/>
        <w:gridCol w:w="2100"/>
        <w:gridCol w:w="3153"/>
      </w:tblGrid>
      <w:tr>
        <w:trPr>
          <w:trHeight w:val="347" w:hRule="atLeast"/>
        </w:trPr>
        <w:tc>
          <w:tcPr>
            <w:tcW w:w="46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ind w:left="0" w:right="0" w:hanging="0"/>
              <w:jc w:val="both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6"/>
                <w:szCs w:val="16"/>
              </w:rPr>
              <w:t xml:space="preserve">Председатель </w:t>
            </w:r>
            <w:r>
              <w:rPr>
                <w:rFonts w:eastAsia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Аукционной</w:t>
            </w:r>
            <w:r>
              <w:rPr>
                <w:rFonts w:cs="Times New Roman"/>
                <w:b/>
                <w:bCs/>
                <w:i/>
                <w:iCs/>
                <w:sz w:val="16"/>
                <w:szCs w:val="16"/>
              </w:rPr>
              <w:t xml:space="preserve"> комиссии: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ind w:left="0" w:right="0" w:hanging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ind w:left="0" w:right="0" w:hanging="0"/>
              <w:jc w:val="both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6"/>
                <w:szCs w:val="16"/>
              </w:rPr>
              <w:t>Зам. Председателя комиссии:</w:t>
            </w:r>
          </w:p>
        </w:tc>
        <w:tc>
          <w:tcPr>
            <w:tcW w:w="210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ind w:left="0" w:right="0" w:hanging="0"/>
              <w:jc w:val="both"/>
              <w:rPr>
                <w:rFonts w:cs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6"/>
                <w:szCs w:val="16"/>
              </w:rPr>
            </w:r>
          </w:p>
        </w:tc>
        <w:tc>
          <w:tcPr>
            <w:tcW w:w="3153" w:type="dxa"/>
            <w:tcBorders/>
          </w:tcPr>
          <w:p>
            <w:pPr>
              <w:pStyle w:val="Style24"/>
              <w:widowControl w:val="false"/>
              <w:tabs>
                <w:tab w:val="clear" w:pos="708"/>
                <w:tab w:val="left" w:pos="908" w:leader="none"/>
              </w:tabs>
              <w:ind w:left="0" w:right="0" w:hanging="0"/>
              <w:rPr>
                <w:rFonts w:ascii="Times New Roman" w:hAnsi="Times New Roman" w:eastAsia="" w:cs="Times New Roman" w:eastAsiaTheme="minorEastAsia"/>
                <w:b/>
                <w:b/>
                <w:bCs/>
                <w:i/>
                <w:i/>
                <w:iCs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i/>
                <w:iCs/>
                <w:color w:val="00000A"/>
                <w:kern w:val="0"/>
                <w:sz w:val="16"/>
                <w:szCs w:val="16"/>
                <w:lang w:val="ru-RU" w:eastAsia="ru-RU" w:bidi="ar-SA"/>
              </w:rPr>
              <w:t>Н. А. Бекетова</w:t>
            </w:r>
          </w:p>
          <w:p>
            <w:pPr>
              <w:pStyle w:val="Style24"/>
              <w:widowControl w:val="false"/>
              <w:tabs>
                <w:tab w:val="clear" w:pos="708"/>
                <w:tab w:val="left" w:pos="908" w:leader="none"/>
              </w:tabs>
              <w:ind w:left="0" w:right="0" w:hanging="0"/>
              <w:rPr>
                <w:rFonts w:ascii="Times New Roman" w:hAnsi="Times New Roman" w:eastAsia="" w:cs="Times New Roman" w:eastAsiaTheme="minorEastAsia"/>
                <w:b/>
                <w:b/>
                <w:bCs/>
                <w:i/>
                <w:i/>
                <w:iCs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i/>
                <w:iCs/>
                <w:color w:val="00000A"/>
                <w:kern w:val="0"/>
                <w:sz w:val="16"/>
                <w:szCs w:val="16"/>
                <w:lang w:val="ru-RU" w:eastAsia="ru-RU" w:bidi="ar-SA"/>
              </w:rPr>
            </w:r>
          </w:p>
          <w:p>
            <w:pPr>
              <w:pStyle w:val="Style24"/>
              <w:widowControl w:val="false"/>
              <w:tabs>
                <w:tab w:val="clear" w:pos="708"/>
                <w:tab w:val="left" w:pos="908" w:leader="none"/>
              </w:tabs>
              <w:ind w:left="0" w:right="0" w:hanging="0"/>
              <w:rPr>
                <w:rFonts w:ascii="Times New Roman" w:hAnsi="Times New Roman" w:eastAsia="" w:cs="Times New Roman" w:eastAsiaTheme="minorEastAsia"/>
                <w:b/>
                <w:b/>
                <w:bCs/>
                <w:i/>
                <w:i/>
                <w:iCs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i/>
                <w:iCs/>
                <w:color w:val="00000A"/>
                <w:kern w:val="0"/>
                <w:sz w:val="16"/>
                <w:szCs w:val="16"/>
                <w:lang w:val="ru-RU" w:eastAsia="ru-RU" w:bidi="ar-SA"/>
              </w:rPr>
              <w:t>Г. В. Безродный</w:t>
            </w:r>
          </w:p>
        </w:tc>
      </w:tr>
      <w:tr>
        <w:trPr>
          <w:trHeight w:val="201" w:hRule="atLeast"/>
        </w:trPr>
        <w:tc>
          <w:tcPr>
            <w:tcW w:w="46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Члены</w:t>
            </w:r>
            <w:r>
              <w:rPr>
                <w:rFonts w:cs="Times New Roman"/>
                <w:bCs/>
                <w:sz w:val="16"/>
                <w:szCs w:val="16"/>
              </w:rPr>
              <w:t xml:space="preserve"> </w:t>
            </w:r>
            <w:r>
              <w:rPr>
                <w:rFonts w:eastAsia="Times New Roman" w:cs="Times New Roman"/>
                <w:bCs/>
                <w:sz w:val="16"/>
                <w:szCs w:val="16"/>
                <w:lang w:eastAsia="ru-RU"/>
              </w:rPr>
              <w:t>Аукционной</w:t>
            </w:r>
            <w:r>
              <w:rPr>
                <w:rFonts w:cs="Times New Roman"/>
                <w:bCs/>
                <w:sz w:val="16"/>
                <w:szCs w:val="16"/>
              </w:rPr>
              <w:t xml:space="preserve"> комиссии</w:t>
            </w:r>
            <w:r>
              <w:rPr>
                <w:rFonts w:cs="Times New Roman"/>
                <w:sz w:val="16"/>
                <w:szCs w:val="16"/>
              </w:rPr>
              <w:t>:</w:t>
            </w:r>
          </w:p>
        </w:tc>
        <w:tc>
          <w:tcPr>
            <w:tcW w:w="210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315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08" w:leader="none"/>
              </w:tabs>
              <w:snapToGrid w:val="false"/>
              <w:ind w:left="0" w:right="0" w:hanging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>
          <w:trHeight w:val="201" w:hRule="atLeast"/>
        </w:trPr>
        <w:tc>
          <w:tcPr>
            <w:tcW w:w="46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210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3153" w:type="dxa"/>
            <w:tcBorders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ru-RU" w:eastAsia="ru-RU" w:bidi="ar-SA"/>
              </w:rPr>
              <w:t xml:space="preserve">С. А. </w:t>
            </w: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Петинова </w:t>
            </w:r>
          </w:p>
          <w:p>
            <w:pPr>
              <w:pStyle w:val="Normal"/>
              <w:widowControl w:val="false"/>
              <w:ind w:left="0" w:right="0" w:hanging="0"/>
              <w:rPr>
                <w:rFonts w:eastAsia="" w:cs="Times New Roman" w:eastAsiaTheme="minorEastAsia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01" w:hRule="atLeast"/>
        </w:trPr>
        <w:tc>
          <w:tcPr>
            <w:tcW w:w="46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210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3153" w:type="dxa"/>
            <w:tcBorders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ru-RU" w:eastAsia="ru-RU" w:bidi="ar-SA"/>
              </w:rPr>
              <w:t xml:space="preserve">В. А. </w:t>
            </w: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Гринь </w:t>
            </w:r>
          </w:p>
          <w:p>
            <w:pPr>
              <w:pStyle w:val="Normal"/>
              <w:widowControl w:val="false"/>
              <w:ind w:left="0" w:right="0" w:hanging="0"/>
              <w:rPr>
                <w:rFonts w:eastAsia="" w:cs="Times New Roman" w:eastAsiaTheme="minorEastAsia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01" w:hRule="atLeast"/>
        </w:trPr>
        <w:tc>
          <w:tcPr>
            <w:tcW w:w="46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210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3153" w:type="dxa"/>
            <w:tcBorders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ru-RU" w:eastAsia="ru-RU" w:bidi="ar-SA"/>
              </w:rPr>
              <w:t xml:space="preserve">Г. И. </w:t>
            </w: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Жидкова </w:t>
            </w:r>
          </w:p>
          <w:p>
            <w:pPr>
              <w:pStyle w:val="Normal"/>
              <w:widowControl w:val="false"/>
              <w:ind w:left="0" w:right="0" w:hanging="0"/>
              <w:rPr>
                <w:rFonts w:eastAsia="" w:cs="Times New Roman" w:eastAsiaTheme="minorEastAsia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01" w:hRule="atLeast"/>
        </w:trPr>
        <w:tc>
          <w:tcPr>
            <w:tcW w:w="46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210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3153" w:type="dxa"/>
            <w:tcBorders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ru-RU" w:eastAsia="ru-RU" w:bidi="ar-SA"/>
              </w:rPr>
              <w:t xml:space="preserve">Л. В. </w:t>
            </w: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Ковалева </w:t>
            </w:r>
          </w:p>
          <w:p>
            <w:pPr>
              <w:pStyle w:val="Normal"/>
              <w:widowControl w:val="false"/>
              <w:ind w:left="0" w:right="0" w:hanging="0"/>
              <w:rPr>
                <w:rFonts w:eastAsia="" w:cs="Times New Roman" w:eastAsiaTheme="minorEastAsia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01" w:hRule="atLeast"/>
        </w:trPr>
        <w:tc>
          <w:tcPr>
            <w:tcW w:w="46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610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210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ind w:left="0" w:right="0" w:hanging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3153" w:type="dxa"/>
            <w:tcBorders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ru-RU" w:eastAsia="ru-RU" w:bidi="ar-SA"/>
              </w:rPr>
              <w:t xml:space="preserve">Л. В. </w:t>
            </w: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Васильева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Body Text Indent"/>
    <w:basedOn w:val="Normal"/>
    <w:pPr>
      <w:spacing w:beforeAutospacing="1" w:afterAutospacing="1"/>
    </w:pPr>
    <w:rPr>
      <w:rFonts w:eastAsia="Calibri"/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hanging="0"/>
    </w:pPr>
    <w:rPr>
      <w:rFonts w:eastAsia="Calibri"/>
    </w:rPr>
  </w:style>
  <w:style w:type="paragraph" w:styleId="Style41">
    <w:name w:val="Style4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Application>LibreOffice/7.0.1.2$Windows_x86 LibreOffice_project/7cbcfc562f6eb6708b5ff7d7397325de9e764452</Application>
  <Pages>2</Pages>
  <Words>614</Words>
  <Characters>4517</Characters>
  <CharactersWithSpaces>5052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2021-07-07T16:34:06Z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