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overflowPunct w:val="true"/>
        <w:bidi w:val="0"/>
        <w:spacing w:before="0" w:after="0"/>
        <w:ind w:left="0" w:right="0" w:hanging="0"/>
        <w:jc w:val="center"/>
        <w:rPr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>
        <w:rPr>
          <w:rFonts w:eastAsia="Times New Roman"/>
          <w:b/>
          <w:bCs/>
          <w:sz w:val="20"/>
          <w:szCs w:val="20"/>
          <w:lang w:val="en-US"/>
        </w:rPr>
        <w:t>№ 0301200061921000062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tbl>
      <w:tblPr>
        <w:tblW w:w="10094" w:type="dxa"/>
        <w:jc w:val="left"/>
        <w:tblInd w:w="-683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5644"/>
        <w:gridCol w:w="4449"/>
      </w:tblGrid>
      <w:tr>
        <w:trPr/>
        <w:tc>
          <w:tcPr>
            <w:tcW w:w="5644" w:type="dxa"/>
            <w:tcBorders/>
            <w:shd w:fill="auto" w:val="clea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ru-RU"/>
              </w:rPr>
              <w:t>Место публикации: Российская Федерация, 450008, Республика Башкортостан, г. Уфа, ул. Пушкина, д. 90</w:t>
            </w:r>
          </w:p>
        </w:tc>
        <w:tc>
          <w:tcPr>
            <w:tcW w:w="4449" w:type="dxa"/>
            <w:tcBorders/>
            <w:shd w:fill="auto" w:val="clear"/>
          </w:tcPr>
          <w:p>
            <w:pPr>
              <w:pStyle w:val="Style25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публикации: </w:t>
            </w:r>
            <w:r>
              <w:rPr>
                <w:rFonts w:eastAsia="Times New Roman"/>
                <w:sz w:val="20"/>
                <w:szCs w:val="20"/>
                <w:lang w:val="en-US"/>
              </w:rPr>
              <w:t>16.07.21 14:40:34 (MSK+02:00)</w:t>
            </w:r>
          </w:p>
        </w:tc>
      </w:tr>
    </w:tbl>
    <w:p>
      <w:pPr>
        <w:pStyle w:val="Normal"/>
        <w:ind w:hanging="0"/>
        <w:jc w:val="righ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widowControl/>
        <w:numPr>
          <w:ilvl w:val="0"/>
          <w:numId w:val="1"/>
        </w:numPr>
        <w:tabs>
          <w:tab w:val="clear" w:pos="720"/>
          <w:tab w:val="left" w:pos="682" w:leader="none"/>
        </w:tabs>
        <w:overflowPunct w:val="true"/>
        <w:bidi w:val="0"/>
        <w:spacing w:before="0" w:after="0"/>
        <w:ind w:left="-567" w:right="0" w:hanging="340"/>
        <w:jc w:val="left"/>
        <w:rPr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  <w:lang w:val="ru-RU"/>
        </w:rPr>
        <w:t>закупки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>
      <w:pPr>
        <w:pStyle w:val="Normal"/>
        <w:numPr>
          <w:ilvl w:val="0"/>
          <w:numId w:val="0"/>
        </w:numPr>
        <w:ind w:left="720" w:hanging="0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numPr>
          <w:ilvl w:val="0"/>
          <w:numId w:val="0"/>
        </w:numPr>
        <w:overflowPunct w:val="true"/>
        <w:bidi w:val="0"/>
        <w:spacing w:before="0" w:after="0"/>
        <w:ind w:left="-567" w:right="0" w:hanging="0"/>
        <w:jc w:val="left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>
      <w:pPr>
        <w:pStyle w:val="Normal"/>
        <w:numPr>
          <w:ilvl w:val="0"/>
          <w:numId w:val="0"/>
        </w:numPr>
        <w:ind w:left="720" w:hanging="0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numPr>
          <w:ilvl w:val="0"/>
          <w:numId w:val="1"/>
        </w:numPr>
        <w:tabs>
          <w:tab w:val="clear" w:pos="720"/>
          <w:tab w:val="left" w:pos="177" w:leader="none"/>
        </w:tabs>
        <w:overflowPunct w:val="true"/>
        <w:bidi w:val="0"/>
        <w:spacing w:before="0" w:after="0"/>
        <w:ind w:left="-567" w:right="0" w:hanging="340"/>
        <w:jc w:val="left"/>
        <w:rPr/>
      </w:pPr>
      <w:r>
        <w:rPr>
          <w:rFonts w:eastAsia="Times New Roman"/>
          <w:sz w:val="20"/>
          <w:szCs w:val="20"/>
          <w:lang w:val="ru-RU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  <w:lang w:val="en-US"/>
        </w:rPr>
        <w:t>212027401807002740100101400103250244</w:t>
      </w:r>
    </w:p>
    <w:p>
      <w:pPr>
        <w:pStyle w:val="Normal"/>
        <w:numPr>
          <w:ilvl w:val="0"/>
          <w:numId w:val="0"/>
        </w:numPr>
        <w:ind w:left="720" w:hanging="0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numPr>
          <w:ilvl w:val="0"/>
          <w:numId w:val="1"/>
        </w:numPr>
        <w:tabs>
          <w:tab w:val="clear" w:pos="720"/>
          <w:tab w:val="left" w:pos="232" w:leader="none"/>
        </w:tabs>
        <w:overflowPunct w:val="true"/>
        <w:bidi w:val="0"/>
        <w:spacing w:before="0" w:after="0"/>
        <w:ind w:left="-567" w:right="0" w:hanging="340"/>
        <w:jc w:val="left"/>
        <w:rPr/>
      </w:pPr>
      <w:r>
        <w:rPr>
          <w:rFonts w:eastAsia="Times New Roman"/>
          <w:sz w:val="20"/>
          <w:szCs w:val="20"/>
          <w:lang w:val="ru-RU"/>
        </w:rPr>
        <w:t xml:space="preserve">Наименование предмета электронного аукциона: </w:t>
      </w:r>
      <w:r>
        <w:rPr>
          <w:rFonts w:eastAsia="Times New Roman"/>
          <w:sz w:val="20"/>
          <w:szCs w:val="20"/>
          <w:lang w:val="en-US"/>
        </w:rPr>
        <w:t>Закупка изделий медицинского назначения</w:t>
      </w:r>
    </w:p>
    <w:p>
      <w:pPr>
        <w:pStyle w:val="Normal"/>
        <w:widowControl/>
        <w:numPr>
          <w:ilvl w:val="0"/>
          <w:numId w:val="0"/>
        </w:numPr>
        <w:overflowPunct w:val="true"/>
        <w:bidi w:val="0"/>
        <w:spacing w:before="0" w:after="0"/>
        <w:ind w:left="299" w:right="0" w:hanging="0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numPr>
          <w:ilvl w:val="0"/>
          <w:numId w:val="1"/>
        </w:numPr>
        <w:tabs>
          <w:tab w:val="clear" w:pos="720"/>
          <w:tab w:val="left" w:pos="259" w:leader="none"/>
        </w:tabs>
        <w:overflowPunct w:val="true"/>
        <w:bidi w:val="0"/>
        <w:spacing w:before="0" w:after="0"/>
        <w:ind w:left="-567" w:right="0" w:hanging="340"/>
        <w:jc w:val="left"/>
        <w:rPr/>
      </w:pPr>
      <w:r>
        <w:rPr>
          <w:rFonts w:eastAsia="Times New Roman"/>
          <w:sz w:val="20"/>
          <w:szCs w:val="20"/>
        </w:rPr>
        <w:t>Начальная (максимальная) цена государственного контракта: 2 987 160,00 руб.</w:t>
      </w:r>
    </w:p>
    <w:p>
      <w:pPr>
        <w:pStyle w:val="Normal"/>
        <w:numPr>
          <w:ilvl w:val="0"/>
          <w:numId w:val="0"/>
        </w:numPr>
        <w:ind w:left="720" w:hanging="0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numPr>
          <w:ilvl w:val="0"/>
          <w:numId w:val="1"/>
        </w:numPr>
        <w:tabs>
          <w:tab w:val="clear" w:pos="720"/>
          <w:tab w:val="left" w:pos="423" w:leader="none"/>
        </w:tabs>
        <w:overflowPunct w:val="true"/>
        <w:bidi w:val="0"/>
        <w:spacing w:before="0" w:after="0"/>
        <w:ind w:left="-567" w:right="0" w:hanging="340"/>
        <w:jc w:val="both"/>
        <w:rPr/>
      </w:pPr>
      <w:r>
        <w:rPr>
          <w:sz w:val="20"/>
          <w:szCs w:val="20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2">
        <w:r>
          <w:rPr>
            <w:rStyle w:val="Style18"/>
            <w:sz w:val="20"/>
            <w:szCs w:val="20"/>
            <w:lang w:val="ru-RU" w:eastAsia="en-US" w:bidi="ar-SA"/>
          </w:rPr>
          <w:t>http://zakupki.gov.ru/</w:t>
        </w:r>
      </w:hyperlink>
      <w:r>
        <w:rPr>
          <w:sz w:val="20"/>
          <w:szCs w:val="20"/>
        </w:rPr>
        <w:t xml:space="preserve"> </w:t>
      </w:r>
      <w:r>
        <w:rPr>
          <w:sz w:val="20"/>
          <w:szCs w:val="20"/>
          <w:lang w:val="en-US"/>
        </w:rPr>
        <w:t>01.07.21 15:46:02 (MSK+02:00)</w:t>
      </w:r>
      <w:r>
        <w:rPr>
          <w:sz w:val="20"/>
          <w:szCs w:val="20"/>
        </w:rPr>
        <w:t xml:space="preserve">, а также на сайте электронной площадки «РАД Госзакупки» </w:t>
      </w:r>
      <w:hyperlink r:id="rId3">
        <w:bookmarkStart w:id="4" w:name="__DdeLink__334_3297638160"/>
        <w:r>
          <w:rPr>
            <w:rStyle w:val="Style18"/>
            <w:sz w:val="20"/>
            <w:szCs w:val="20"/>
            <w:lang w:val="ru-RU" w:eastAsia="en-US" w:bidi="ar-SA"/>
          </w:rPr>
          <w:t>http://</w:t>
        </w:r>
        <w:r>
          <w:rPr>
            <w:rStyle w:val="Style18"/>
            <w:sz w:val="20"/>
            <w:szCs w:val="20"/>
            <w:lang w:val="en-US" w:eastAsia="en-US" w:bidi="ar-SA"/>
          </w:rPr>
          <w:t>www.gz.lot-online</w:t>
        </w:r>
        <w:r>
          <w:rPr>
            <w:rStyle w:val="Style18"/>
            <w:sz w:val="20"/>
            <w:szCs w:val="20"/>
            <w:lang w:val="ru-RU" w:eastAsia="en-US" w:bidi="ar-SA"/>
          </w:rPr>
          <w:t>.ru/</w:t>
        </w:r>
      </w:hyperlink>
      <w:bookmarkEnd w:id="4"/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423" w:leader="none"/>
        </w:tabs>
        <w:overflowPunct w:val="true"/>
        <w:bidi w:val="0"/>
        <w:spacing w:before="0" w:after="0"/>
        <w:ind w:left="299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numPr>
          <w:ilvl w:val="0"/>
          <w:numId w:val="1"/>
        </w:numPr>
        <w:tabs>
          <w:tab w:val="clear" w:pos="720"/>
          <w:tab w:val="left" w:pos="423" w:leader="none"/>
        </w:tabs>
        <w:overflowPunct w:val="true"/>
        <w:bidi w:val="0"/>
        <w:spacing w:before="0" w:after="0"/>
        <w:ind w:left="-567" w:right="0" w:hanging="340"/>
        <w:jc w:val="left"/>
        <w:rPr/>
      </w:pPr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  <w:lang w:val="ru-RU"/>
        </w:rPr>
        <w:t xml:space="preserve"> </w:t>
      </w:r>
      <w:r>
        <w:rPr>
          <w:rFonts w:eastAsia="Times New Roman"/>
          <w:sz w:val="20"/>
          <w:szCs w:val="20"/>
          <w:lang w:val="en-US"/>
        </w:rPr>
        <w:t>Еди</w:t>
      </w:r>
      <w:r>
        <w:rPr>
          <w:rFonts w:eastAsia="Times New Roman"/>
          <w:sz w:val="20"/>
          <w:szCs w:val="20"/>
          <w:lang w:val="ru-RU"/>
        </w:rPr>
        <w:t xml:space="preserve">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16" w:type="dxa"/>
        <w:jc w:val="left"/>
        <w:tblInd w:w="-573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5385"/>
        <w:gridCol w:w="4530"/>
      </w:tblGrid>
      <w:tr>
        <w:trPr/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57" w:right="0" w:hanging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>
        <w:trPr/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Гареева Дания  Ильдаровна</w:t>
            </w:r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</w:tr>
      <w:tr>
        <w:trPr/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Булатова  Гульнара  Расулевна</w:t>
            </w:r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</w:tr>
      <w:tr>
        <w:trPr/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Ахунова  Гульназ  Ильгиновна</w:t>
            </w:r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</w:tr>
      <w:tr>
        <w:trPr/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Галиева  Алевтина  Евгеньевна</w:t>
            </w:r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</w:tr>
      <w:tr>
        <w:trPr/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Камалетдинова  Лилия  Разилевна</w:t>
            </w:r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</w:tr>
      <w:tr>
        <w:trPr/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Имаева Роза Зульфакаровна</w:t>
            </w:r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</w:tr>
      <w:tr>
        <w:trPr/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Арсланова  Ралия  Илдусовна</w:t>
            </w:r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overflowPunct w:val="true"/>
        <w:bidi w:val="0"/>
        <w:spacing w:before="0" w:after="0"/>
        <w:ind w:left="-567" w:right="0" w:hanging="0"/>
        <w:jc w:val="both"/>
        <w:rPr/>
      </w:pPr>
      <w:r>
        <w:rPr>
          <w:rFonts w:eastAsia="Times New Roman"/>
          <w:sz w:val="20"/>
          <w:szCs w:val="20"/>
        </w:rPr>
        <w:t>На заседании Единой комиссии по рассмотрению заявок на участие в электронном аукционе присутствовали:</w:t>
      </w:r>
    </w:p>
    <w:tbl>
      <w:tblPr>
        <w:tblW w:w="9924" w:type="dxa"/>
        <w:jc w:val="left"/>
        <w:tblInd w:w="-58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5384"/>
        <w:gridCol w:w="4539"/>
      </w:tblGrid>
      <w:tr>
        <w:trPr/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57" w:right="0" w:hanging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>
        <w:trPr/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Гареева Дания  Ильдаровна</w:t>
            </w:r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</w:tr>
      <w:tr>
        <w:trPr/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Булатова  Гульнара  Расулевна</w:t>
            </w:r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</w:tr>
      <w:tr>
        <w:trPr/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Галиева  Алевтина  Евгеньевна</w:t>
            </w:r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</w:tr>
      <w:tr>
        <w:trPr/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Камалетдинова  Лилия  Разилевна</w:t>
            </w:r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</w:tr>
      <w:tr>
        <w:trPr/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Арсланова  Ралия  Илдусовна</w:t>
            </w:r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overflowPunct w:val="true"/>
        <w:bidi w:val="0"/>
        <w:spacing w:before="0" w:after="0"/>
        <w:ind w:left="-567" w:right="0" w:hanging="0"/>
        <w:jc w:val="both"/>
        <w:rPr/>
      </w:pPr>
      <w:r>
        <w:rPr>
          <w:rFonts w:eastAsia="Times New Roman"/>
          <w:sz w:val="20"/>
          <w:szCs w:val="20"/>
        </w:rPr>
        <w:t xml:space="preserve">Всего на заседании присутствовало </w:t>
      </w:r>
      <w:r>
        <w:rPr>
          <w:rFonts w:eastAsia="Times New Roman"/>
          <w:sz w:val="20"/>
          <w:szCs w:val="20"/>
          <w:lang w:val="en-US"/>
        </w:rPr>
        <w:t xml:space="preserve">5 </w:t>
      </w:r>
      <w:r>
        <w:rPr>
          <w:rFonts w:eastAsia="Times New Roman"/>
          <w:sz w:val="20"/>
          <w:szCs w:val="20"/>
          <w:lang w:val="ru-RU"/>
        </w:rPr>
        <w:t>члена(ов) Единой комиссии. Кворум имеется. Заседание правомочно.</w:t>
      </w:r>
    </w:p>
    <w:p>
      <w:pPr>
        <w:pStyle w:val="Normal"/>
        <w:widowControl/>
        <w:tabs>
          <w:tab w:val="clear" w:pos="720"/>
          <w:tab w:val="left" w:pos="423" w:leader="none"/>
        </w:tabs>
        <w:overflowPunct w:val="true"/>
        <w:bidi w:val="0"/>
        <w:spacing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numPr>
          <w:ilvl w:val="0"/>
          <w:numId w:val="1"/>
        </w:numPr>
        <w:tabs>
          <w:tab w:val="clear" w:pos="720"/>
          <w:tab w:val="left" w:pos="423" w:leader="none"/>
        </w:tabs>
        <w:overflowPunct w:val="true"/>
        <w:bidi w:val="0"/>
        <w:spacing w:before="0" w:after="0"/>
        <w:ind w:left="-567" w:right="0" w:hanging="340"/>
        <w:jc w:val="both"/>
        <w:rPr/>
      </w:pPr>
      <w:r>
        <w:rPr>
          <w:rFonts w:eastAsia="Times New Roman"/>
          <w:sz w:val="20"/>
          <w:szCs w:val="20"/>
        </w:rPr>
        <w:t xml:space="preserve">На основании протокола проведения электронного аукциона № </w:t>
      </w:r>
      <w:r>
        <w:rPr>
          <w:rFonts w:eastAsia="Times New Roman"/>
          <w:sz w:val="20"/>
          <w:szCs w:val="20"/>
          <w:lang w:val="en-US"/>
        </w:rPr>
        <w:t xml:space="preserve">0301200061921000062 </w:t>
      </w:r>
      <w:r>
        <w:rPr>
          <w:rFonts w:eastAsia="Times New Roman"/>
          <w:sz w:val="20"/>
          <w:szCs w:val="20"/>
          <w:lang w:val="ru-RU"/>
        </w:rPr>
        <w:t>были рассмотрены вторые части заявок следующих участников аукциона</w:t>
      </w:r>
      <w:r>
        <w:rPr>
          <w:rFonts w:eastAsia="Times New Roman"/>
          <w:sz w:val="20"/>
          <w:szCs w:val="20"/>
        </w:rPr>
        <w:t>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60" w:type="dxa"/>
        <w:jc w:val="left"/>
        <w:tblInd w:w="-59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725"/>
        <w:gridCol w:w="2145"/>
        <w:gridCol w:w="3533"/>
        <w:gridCol w:w="2556"/>
      </w:tblGrid>
      <w:tr>
        <w:trPr/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5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5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5"/>
              <w:jc w:val="center"/>
              <w:rPr>
                <w:rFonts w:ascii="Times New Roman" w:hAnsi="Times New Roman"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" w:cs="Times New Roman" w:eastAsiaTheme="minorEastAsia"/>
                <w:b/>
                <w:bCs/>
                <w:color w:val="00000A"/>
                <w:kern w:val="0"/>
                <w:sz w:val="20"/>
                <w:szCs w:val="20"/>
                <w:lang w:val="ru-RU" w:eastAsia="ru-RU" w:bidi="ar-SA"/>
              </w:rPr>
              <w:t>Участник электронного аукциона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Style25"/>
              <w:jc w:val="center"/>
              <w:rPr>
                <w:rFonts w:ascii="Times New Roman" w:hAnsi="Times New Roman" w:eastAsia="" w:cs="Times New Roman" w:eastAsiaTheme="minorEastAsia"/>
                <w:b/>
                <w:b/>
                <w:bCs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" w:cs="Times New Roman" w:eastAsiaTheme="minorEastAsia"/>
                <w:b/>
                <w:bCs/>
                <w:color w:val="00000A"/>
                <w:kern w:val="0"/>
                <w:sz w:val="20"/>
                <w:szCs w:val="20"/>
                <w:lang w:val="ru-RU" w:eastAsia="ru-RU" w:bidi="ar-SA"/>
              </w:rPr>
              <w:t>Сумма предложения</w:t>
            </w:r>
          </w:p>
        </w:tc>
      </w:tr>
      <w:tr>
        <w:trPr/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EA-104154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"ФАРМСЕРВИС"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2 778 058,80 руб.</w:t>
            </w:r>
          </w:p>
        </w:tc>
      </w:tr>
      <w:tr>
        <w:trPr/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EA-104110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"ЕСКО"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2 755 953,81 руб.</w:t>
            </w:r>
          </w:p>
        </w:tc>
      </w:tr>
    </w:tbl>
    <w:p>
      <w:pPr>
        <w:pStyle w:val="Normal"/>
        <w:widowControl/>
        <w:tabs>
          <w:tab w:val="clear" w:pos="720"/>
          <w:tab w:val="left" w:pos="423" w:leader="none"/>
        </w:tabs>
        <w:overflowPunct w:val="true"/>
        <w:bidi w:val="0"/>
        <w:spacing w:before="0" w:after="0"/>
        <w:ind w:left="-567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numPr>
          <w:ilvl w:val="0"/>
          <w:numId w:val="1"/>
        </w:numPr>
        <w:tabs>
          <w:tab w:val="clear" w:pos="720"/>
          <w:tab w:val="left" w:pos="423" w:leader="none"/>
        </w:tabs>
        <w:overflowPunct w:val="true"/>
        <w:bidi w:val="0"/>
        <w:spacing w:before="0" w:after="0"/>
        <w:ind w:left="-567" w:right="0" w:hanging="340"/>
        <w:jc w:val="both"/>
        <w:rPr/>
      </w:pPr>
      <w:r>
        <w:rPr>
          <w:rFonts w:eastAsia="Times New Roman"/>
          <w:sz w:val="20"/>
          <w:szCs w:val="20"/>
          <w:lang w:val="ru-RU"/>
        </w:rPr>
        <w:t>Единая комиссия, руководствуясь ст. 6</w:t>
      </w:r>
      <w:r>
        <w:rPr>
          <w:rFonts w:eastAsia="Times New Roman"/>
          <w:sz w:val="20"/>
          <w:szCs w:val="20"/>
          <w:lang w:val="en-US"/>
        </w:rPr>
        <w:t>9</w:t>
      </w:r>
      <w:r>
        <w:rPr>
          <w:rFonts w:eastAsia="Times New Roman"/>
          <w:sz w:val="20"/>
          <w:szCs w:val="20"/>
          <w:lang w:val="ru-RU"/>
        </w:rPr>
        <w:t xml:space="preserve"> Федерального закона от 05 апреля 2013 г. №44-ФЗ,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 на предмет их соответствия требованиям, установленным документацией об электронном аукционе, и приняла следующее решение:</w:t>
      </w:r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423" w:leader="none"/>
        </w:tabs>
        <w:overflowPunct w:val="true"/>
        <w:bidi w:val="0"/>
        <w:spacing w:before="0" w:after="0"/>
        <w:ind w:left="153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tbl>
      <w:tblPr>
        <w:tblW w:w="9945" w:type="dxa"/>
        <w:jc w:val="left"/>
        <w:tblInd w:w="-580" w:type="dxa"/>
        <w:tblCellMar>
          <w:top w:w="55" w:type="dxa"/>
          <w:left w:w="10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80"/>
        <w:gridCol w:w="1590"/>
        <w:gridCol w:w="3225"/>
        <w:gridCol w:w="2729"/>
        <w:gridCol w:w="1421"/>
      </w:tblGrid>
      <w:tr>
        <w:trPr/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57" w:right="0" w:hanging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57" w:right="0" w:hanging="0"/>
              <w:jc w:val="center"/>
              <w:rPr>
                <w:b/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о соответствии или несоответствии заявки требованиям документации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Обоснование решения</w:t>
            </w:r>
          </w:p>
        </w:tc>
      </w:tr>
      <w:tr>
        <w:trPr/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/>
            </w:pPr>
            <w:r>
              <w:rPr>
                <w:sz w:val="20"/>
                <w:szCs w:val="20"/>
              </w:rPr>
              <w:t/>
            </w: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EA-104154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"ФАРМСЕРВИС"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/>
            </w:pPr>
            <w:r>
              <w:rPr>
                <w:sz w:val="20"/>
                <w:szCs w:val="20"/>
              </w:rPr>
              <w:t/>
            </w: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EA-104110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"ЕСКО"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widowControl/>
        <w:overflowPunct w:val="true"/>
        <w:bidi w:val="0"/>
        <w:spacing w:before="0" w:after="0"/>
        <w:ind w:left="-567" w:right="0" w:hanging="0"/>
        <w:jc w:val="left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overflowPunct w:val="true"/>
        <w:bidi w:val="0"/>
        <w:spacing w:before="0" w:after="0"/>
        <w:ind w:left="-567" w:right="0" w:hanging="0"/>
        <w:jc w:val="both"/>
        <w:rPr/>
      </w:pPr>
      <w:r>
        <w:rPr>
          <w:rFonts w:eastAsia="Times New Roman"/>
          <w:sz w:val="20"/>
          <w:szCs w:val="20"/>
        </w:rPr>
        <w:t>Сведения о решении каждого члена Единой комиссии о соответствии (несоответствии) заявок участников электронного аукциона требованиям:</w:t>
      </w:r>
    </w:p>
    <w:tbl>
      <w:tblPr>
        <w:tblW w:w="9921" w:type="dxa"/>
        <w:jc w:val="left"/>
        <w:tblInd w:w="-558" w:type="dxa"/>
        <w:tblCellMar>
          <w:top w:w="55" w:type="dxa"/>
          <w:left w:w="10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69"/>
        <w:gridCol w:w="1590"/>
        <w:gridCol w:w="3217"/>
        <w:gridCol w:w="2728"/>
        <w:gridCol w:w="1417"/>
      </w:tblGrid>
      <w:tr>
        <w:trPr/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-170" w:hanging="0"/>
              <w:jc w:val="center"/>
              <w:rPr/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widowControl/>
              <w:tabs>
                <w:tab w:val="clear" w:pos="720"/>
                <w:tab w:val="left" w:pos="1304" w:leader="none"/>
              </w:tabs>
              <w:overflowPunct w:val="true"/>
              <w:bidi w:val="0"/>
              <w:spacing w:before="0" w:after="0"/>
              <w:ind w:left="57" w:right="170" w:hanging="0"/>
              <w:jc w:val="center"/>
              <w:rPr>
                <w:b/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ind w:right="-157" w:hanging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Normal"/>
              <w:ind w:right="-157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Normal"/>
              <w:ind w:right="-157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члена комиссии</w:t>
            </w:r>
          </w:p>
        </w:tc>
      </w:tr>
      <w:tr>
        <w:trPr/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EA-104154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"ФАРМСЕРВИС"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Гареева Дания  Ильдаровна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 требованиям</w:t>
            </w:r>
          </w:p>
        </w:tc>
      </w:tr>
      <w:tr>
        <w:trPr/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EA-104154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"ФАРМСЕРВИС"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Булатова  Гульнара  Расулевна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 требованиям</w:t>
            </w:r>
          </w:p>
        </w:tc>
      </w:tr>
      <w:tr>
        <w:trPr/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EA-104154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"ФАРМСЕРВИС"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Галиева  Алевтина  Евгеньевна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 требованиям</w:t>
            </w:r>
          </w:p>
        </w:tc>
      </w:tr>
      <w:tr>
        <w:trPr/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EA-104154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"ФАРМСЕРВИС"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Камалетдинова  Лилия  Разилевна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 требованиям</w:t>
            </w:r>
          </w:p>
        </w:tc>
      </w:tr>
      <w:tr>
        <w:trPr/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EA-104154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"ФАРМСЕРВИС"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Арсланова  Ралия  Илдусовна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 требованиям</w:t>
            </w:r>
          </w:p>
        </w:tc>
      </w:tr>
      <w:tr>
        <w:trPr/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EA-104110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"ЕСКО"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Гареева Дания  Ильдаровна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 требованиям</w:t>
            </w:r>
          </w:p>
        </w:tc>
      </w:tr>
      <w:tr>
        <w:trPr/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EA-104110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"ЕСКО"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Булатова  Гульнара  Расулевна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 требованиям</w:t>
            </w:r>
          </w:p>
        </w:tc>
      </w:tr>
      <w:tr>
        <w:trPr/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EA-104110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"ЕСКО"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Галиева  Алевтина  Евгеньевна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 требованиям</w:t>
            </w:r>
          </w:p>
        </w:tc>
      </w:tr>
      <w:tr>
        <w:trPr/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EA-104110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"ЕСКО"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Камалетдинова  Лилия  Разилевна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 требованиям</w:t>
            </w:r>
          </w:p>
        </w:tc>
      </w:tr>
      <w:tr>
        <w:trPr/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EA-104110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"ЕСКО"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Арсланова  Ралия  Илдусовна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 требованиям</w:t>
            </w:r>
          </w:p>
        </w:tc>
      </w:tr>
    </w:tbl>
    <w:p>
      <w:pPr>
        <w:pStyle w:val="Normal"/>
        <w:widowControl/>
        <w:tabs>
          <w:tab w:val="clear" w:pos="720"/>
          <w:tab w:val="left" w:pos="423" w:leader="none"/>
        </w:tabs>
        <w:overflowPunct w:val="true"/>
        <w:bidi w:val="0"/>
        <w:spacing w:before="0" w:after="0"/>
        <w:ind w:left="-567" w:right="0" w:hanging="340"/>
        <w:jc w:val="left"/>
        <w:rPr/>
      </w:pPr>
      <w:r>
        <w:rPr>
          <w:rFonts w:eastAsia="Times New Roman"/>
          <w:sz w:val="20"/>
          <w:szCs w:val="20"/>
          <w:lang w:val="en-US"/>
        </w:rPr>
        <w:tab/>
        <w:t/>
      </w:r>
    </w:p>
    <w:p>
      <w:pPr>
        <w:pStyle w:val="Normal"/>
        <w:widowControl/>
        <w:tabs>
          <w:tab w:val="clear" w:pos="720"/>
          <w:tab w:val="left" w:pos="423" w:leader="none"/>
        </w:tabs>
        <w:overflowPunct w:val="true"/>
        <w:bidi w:val="0"/>
        <w:spacing w:before="0" w:after="0"/>
        <w:ind w:left="0" w:right="0" w:hanging="421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numPr>
          <w:ilvl w:val="0"/>
          <w:numId w:val="1"/>
        </w:numPr>
        <w:tabs>
          <w:tab w:val="clear" w:pos="720"/>
          <w:tab w:val="left" w:pos="423" w:leader="none"/>
        </w:tabs>
        <w:overflowPunct w:val="true"/>
        <w:bidi w:val="0"/>
        <w:spacing w:before="0" w:after="0"/>
        <w:ind w:left="-567" w:right="0" w:hanging="340"/>
        <w:jc w:val="both"/>
        <w:rPr/>
      </w:pPr>
      <w:r>
        <w:rPr>
          <w:rFonts w:eastAsia="Times New Roman"/>
          <w:sz w:val="20"/>
          <w:szCs w:val="20"/>
          <w:lang w:val="ru-RU"/>
        </w:rPr>
        <w:t xml:space="preserve">На основании результатов рассмотрения вторых частей заявок на участие в электронном аукционе и в соответствии с ч. 10 ст. 69 Федерального закона от 05 апреля 2013 г. №44-ФЗ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контракт заключается с участником - 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ОБЩЕСТВО С ОГРАНИЧЕННОЙ ОТВЕТСТВЕННОСТЬЮ "ЕСКО",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423" w:leader="none"/>
        </w:tabs>
        <w:overflowPunct w:val="true"/>
        <w:bidi w:val="0"/>
        <w:spacing w:before="0" w:after="0"/>
        <w:ind w:left="-567" w:right="0" w:hanging="0"/>
        <w:jc w:val="both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widowControl/>
        <w:numPr>
          <w:ilvl w:val="0"/>
          <w:numId w:val="1"/>
        </w:numPr>
        <w:tabs>
          <w:tab w:val="clear" w:pos="720"/>
          <w:tab w:val="left" w:pos="423" w:leader="none"/>
        </w:tabs>
        <w:overflowPunct w:val="true"/>
        <w:bidi w:val="0"/>
        <w:spacing w:before="0" w:after="0"/>
        <w:ind w:left="-567" w:right="0" w:hanging="340"/>
        <w:jc w:val="both"/>
        <w:rPr/>
      </w:pPr>
      <w:r>
        <w:rPr>
          <w:rFonts w:eastAsia="Times New Roman"/>
          <w:sz w:val="20"/>
          <w:szCs w:val="20"/>
          <w:lang w:val="ru-RU"/>
        </w:rPr>
        <w:t xml:space="preserve">Протокол рассмотрения заявок на участие в электронном аукционе подписан всеми присутствующими на заседании членами Единой комиссии и направлен оператору электронной площадки «РАД Госзакупки», по адресу в сети «Интернет»: </w:t>
      </w:r>
      <w:hyperlink r:id="rId4">
        <w:r>
          <w:rPr>
            <w:rStyle w:val="Style18"/>
            <w:rFonts w:eastAsia="Times New Roman"/>
            <w:sz w:val="20"/>
            <w:szCs w:val="20"/>
            <w:lang w:val="ru-RU" w:eastAsia="en-US" w:bidi="ar-SA"/>
          </w:rPr>
          <w:t>http://</w:t>
        </w:r>
        <w:r>
          <w:rPr>
            <w:rStyle w:val="Style18"/>
            <w:rFonts w:eastAsia="Times New Roman"/>
            <w:sz w:val="20"/>
            <w:szCs w:val="20"/>
            <w:lang w:val="en-US" w:eastAsia="en-US" w:bidi="ar-SA"/>
          </w:rPr>
          <w:t>www.gz.lot-online</w:t>
        </w:r>
        <w:r>
          <w:rPr>
            <w:rStyle w:val="Style18"/>
            <w:rFonts w:eastAsia="Times New Roman"/>
            <w:sz w:val="20"/>
            <w:szCs w:val="20"/>
            <w:lang w:val="ru-RU" w:eastAsia="en-US" w:bidi="ar-SA"/>
          </w:rPr>
          <w:t>.ru/</w:t>
        </w:r>
      </w:hyperlink>
      <w:r>
        <w:rPr>
          <w:rFonts w:eastAsia="Times New Roman"/>
          <w:sz w:val="20"/>
          <w:szCs w:val="20"/>
          <w:lang w:val="ru-RU" w:eastAsia="en-US" w:bidi="ar-SA"/>
        </w:rPr>
        <w:t>.</w:t>
      </w:r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423" w:leader="none"/>
        </w:tabs>
        <w:overflowPunct w:val="true"/>
        <w:bidi w:val="0"/>
        <w:spacing w:before="0" w:after="0"/>
        <w:ind w:left="299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10034" w:type="dxa"/>
        <w:jc w:val="left"/>
        <w:tblInd w:w="-68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935"/>
        <w:gridCol w:w="2678"/>
        <w:gridCol w:w="3421"/>
      </w:tblGrid>
      <w:tr>
        <w:trPr/>
        <w:tc>
          <w:tcPr>
            <w:tcW w:w="3935" w:type="dxa"/>
            <w:tcBorders/>
            <w:shd w:fill="auto" w:val="clear"/>
            <w:vAlign w:val="bottom"/>
          </w:tcPr>
          <w:p>
            <w:pPr>
              <w:pStyle w:val="Style25"/>
              <w:widowControl/>
              <w:overflowPunct w:val="true"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2678" w:type="dxa"/>
            <w:tcBorders/>
            <w:shd w:fill="auto" w:val="clear"/>
          </w:tcPr>
          <w:p>
            <w:pPr>
              <w:pStyle w:val="Style25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421" w:type="dxa"/>
            <w:tcBorders/>
            <w:shd w:fill="auto" w:val="clear"/>
            <w:vAlign w:val="bottom"/>
          </w:tcPr>
          <w:p>
            <w:pPr>
              <w:pStyle w:val="Style25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Гареева Дания  Ильдаровна</w:t>
            </w:r>
          </w:p>
        </w:tc>
      </w:tr>
      <w:tr>
        <w:trPr/>
        <w:tc>
          <w:tcPr>
            <w:tcW w:w="3935" w:type="dxa"/>
            <w:tcBorders/>
            <w:shd w:fill="auto" w:val="clear"/>
            <w:vAlign w:val="bottom"/>
          </w:tcPr>
          <w:p>
            <w:pPr>
              <w:pStyle w:val="Style25"/>
              <w:widowControl/>
              <w:overflowPunct w:val="true"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2678" w:type="dxa"/>
            <w:tcBorders/>
            <w:shd w:fill="auto" w:val="clear"/>
          </w:tcPr>
          <w:p>
            <w:pPr>
              <w:pStyle w:val="Style25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421" w:type="dxa"/>
            <w:tcBorders/>
            <w:shd w:fill="auto" w:val="clear"/>
            <w:vAlign w:val="bottom"/>
          </w:tcPr>
          <w:p>
            <w:pPr>
              <w:pStyle w:val="Style25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Булатова  Гульнара  Расулевна</w:t>
            </w:r>
          </w:p>
        </w:tc>
      </w:tr>
      <w:tr>
        <w:trPr/>
        <w:tc>
          <w:tcPr>
            <w:tcW w:w="3935" w:type="dxa"/>
            <w:tcBorders/>
            <w:shd w:fill="auto" w:val="clear"/>
            <w:vAlign w:val="bottom"/>
          </w:tcPr>
          <w:p>
            <w:pPr>
              <w:pStyle w:val="Style25"/>
              <w:widowControl/>
              <w:overflowPunct w:val="true"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2678" w:type="dxa"/>
            <w:tcBorders/>
            <w:shd w:fill="auto" w:val="clear"/>
          </w:tcPr>
          <w:p>
            <w:pPr>
              <w:pStyle w:val="Style25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421" w:type="dxa"/>
            <w:tcBorders/>
            <w:shd w:fill="auto" w:val="clear"/>
            <w:vAlign w:val="bottom"/>
          </w:tcPr>
          <w:p>
            <w:pPr>
              <w:pStyle w:val="Style25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Галиева  Алевтина  Евгеньевна</w:t>
            </w:r>
          </w:p>
        </w:tc>
      </w:tr>
      <w:tr>
        <w:trPr/>
        <w:tc>
          <w:tcPr>
            <w:tcW w:w="3935" w:type="dxa"/>
            <w:tcBorders/>
            <w:shd w:fill="auto" w:val="clear"/>
            <w:vAlign w:val="bottom"/>
          </w:tcPr>
          <w:p>
            <w:pPr>
              <w:pStyle w:val="Style25"/>
              <w:widowControl/>
              <w:overflowPunct w:val="true"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2678" w:type="dxa"/>
            <w:tcBorders/>
            <w:shd w:fill="auto" w:val="clear"/>
          </w:tcPr>
          <w:p>
            <w:pPr>
              <w:pStyle w:val="Style25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421" w:type="dxa"/>
            <w:tcBorders/>
            <w:shd w:fill="auto" w:val="clear"/>
            <w:vAlign w:val="bottom"/>
          </w:tcPr>
          <w:p>
            <w:pPr>
              <w:pStyle w:val="Style25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Камалетдинова  Лилия  Разилевна</w:t>
            </w:r>
          </w:p>
        </w:tc>
      </w:tr>
      <w:tr>
        <w:trPr/>
        <w:tc>
          <w:tcPr>
            <w:tcW w:w="3935" w:type="dxa"/>
            <w:tcBorders/>
            <w:shd w:fill="auto" w:val="clear"/>
            <w:vAlign w:val="bottom"/>
          </w:tcPr>
          <w:p>
            <w:pPr>
              <w:pStyle w:val="Style25"/>
              <w:widowControl/>
              <w:overflowPunct w:val="true"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2678" w:type="dxa"/>
            <w:tcBorders/>
            <w:shd w:fill="auto" w:val="clear"/>
          </w:tcPr>
          <w:p>
            <w:pPr>
              <w:pStyle w:val="Style25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421" w:type="dxa"/>
            <w:tcBorders/>
            <w:shd w:fill="auto" w:val="clear"/>
            <w:vAlign w:val="bottom"/>
          </w:tcPr>
          <w:p>
            <w:pPr>
              <w:pStyle w:val="Style25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Арсланова  Ралия  Илдусовна</w:t>
            </w:r>
          </w:p>
        </w:tc>
      </w:tr>
    </w:tbl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698" w:right="858" w:header="0" w:top="565" w:footer="0" w:bottom="1133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Символ нумерации"/>
    <w:qFormat/>
    <w:rPr>
      <w:sz w:val="20"/>
      <w:szCs w:val="20"/>
    </w:rPr>
  </w:style>
  <w:style w:type="character" w:styleId="Style18">
    <w:name w:val="Интернет-ссылка"/>
    <w:rPr>
      <w:color w:val="000080"/>
      <w:u w:val="single"/>
      <w:lang w:val="zxx" w:eastAsia="zxx" w:bidi="zxx"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0">
    <w:name w:val="Body Text"/>
    <w:basedOn w:val="Normal"/>
    <w:pPr>
      <w:spacing w:lineRule="auto" w:line="288" w:before="0" w:after="140"/>
    </w:pPr>
    <w:rPr/>
  </w:style>
  <w:style w:type="paragraph" w:styleId="Style21">
    <w:name w:val="List"/>
    <w:basedOn w:val="Style20"/>
    <w:pPr/>
    <w:rPr>
      <w:rFonts w:cs="Noto Sans Devanagari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Arial"/>
    </w:rPr>
  </w:style>
  <w:style w:type="paragraph" w:styleId="Style24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5" w:customStyle="1">
    <w:name w:val="Содержимое таблицы"/>
    <w:basedOn w:val="Normal"/>
    <w:qFormat/>
    <w:pPr/>
    <w:rPr/>
  </w:style>
  <w:style w:type="paragraph" w:styleId="Style26" w:customStyle="1">
    <w:name w:val="Заголовок таблицы"/>
    <w:basedOn w:val="Style25"/>
    <w:qFormat/>
    <w:pPr/>
    <w:rPr/>
  </w:style>
  <w:style w:type="paragraph" w:styleId="Style27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zakupki.gov.ru/" TargetMode="External"/><Relationship Id="rId3" Type="http://schemas.openxmlformats.org/officeDocument/2006/relationships/hyperlink" Target="http://www.gz.lot-online.ru/" TargetMode="External"/><Relationship Id="rId4" Type="http://schemas.openxmlformats.org/officeDocument/2006/relationships/hyperlink" Target="http://www.gz.lot-online.ru/" TargetMode="Externa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Application>LibreOffice/6.3.4.2$Windows_x86 LibreOffice_project/60da17e045e08f1793c57c00ba83cdfce946d0aa</Application>
  <Pages>2</Pages>
  <Words>354</Words>
  <Characters>3197</Characters>
  <CharactersWithSpaces>3470</CharactersWithSpaces>
  <Paragraphs>72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2020-03-20T11:58:46Z</dcterms:modified>
  <cp:revision>42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