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overflowPunct w:val="true"/>
        <w:bidi w:val="0"/>
        <w:spacing w:before="0" w:after="0"/>
        <w:ind w:left="0" w:right="0" w:hanging="0"/>
        <w:jc w:val="center"/>
        <w:rPr/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подведения итогов электронного аукциона </w:t>
      </w:r>
      <w:r>
        <w:rPr>
          <w:rFonts w:eastAsia="Times New Roman"/>
          <w:b/>
          <w:bCs/>
          <w:sz w:val="20"/>
          <w:szCs w:val="20"/>
          <w:lang w:val="en-US"/>
        </w:rPr>
        <w:t>№ 0301200061921000065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tbl>
      <w:tblPr>
        <w:tblW w:w="10094" w:type="dxa"/>
        <w:jc w:val="left"/>
        <w:tblInd w:w="-683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5644"/>
        <w:gridCol w:w="4449"/>
      </w:tblGrid>
      <w:tr>
        <w:trPr/>
        <w:tc>
          <w:tcPr>
            <w:tcW w:w="5644" w:type="dxa"/>
            <w:tcBorders/>
            <w:shd w:fill="auto" w:val="clea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57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ru-RU"/>
              </w:rPr>
              <w:t>Место публикации: Российская Федерация, 450008, Республика Башкортостан, г. Уфа, ул. Пушкина, д. 90</w:t>
            </w:r>
          </w:p>
        </w:tc>
        <w:tc>
          <w:tcPr>
            <w:tcW w:w="4449" w:type="dxa"/>
            <w:tcBorders/>
            <w:shd w:fill="auto" w:val="clear"/>
          </w:tcPr>
          <w:p>
            <w:pPr>
              <w:pStyle w:val="Style25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Дата публикации: </w:t>
            </w:r>
            <w:r>
              <w:rPr>
                <w:rFonts w:eastAsia="Times New Roman"/>
                <w:sz w:val="20"/>
                <w:szCs w:val="20"/>
                <w:lang w:val="en-US"/>
              </w:rPr>
              <w:t>28.07.21 16:30:31 (MSK+02:00)</w:t>
            </w:r>
          </w:p>
        </w:tc>
      </w:tr>
    </w:tbl>
    <w:p>
      <w:pPr>
        <w:pStyle w:val="Normal"/>
        <w:ind w:hanging="0"/>
        <w:jc w:val="righ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widowControl/>
        <w:numPr>
          <w:ilvl w:val="0"/>
          <w:numId w:val="1"/>
        </w:numPr>
        <w:tabs>
          <w:tab w:val="clear" w:pos="720"/>
          <w:tab w:val="left" w:pos="682" w:leader="none"/>
        </w:tabs>
        <w:overflowPunct w:val="true"/>
        <w:bidi w:val="0"/>
        <w:spacing w:before="0" w:after="0"/>
        <w:ind w:left="-567" w:right="0" w:hanging="340"/>
        <w:jc w:val="left"/>
        <w:rPr/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  <w:lang w:val="ru-RU"/>
        </w:rPr>
        <w:t>закупки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>
      <w:pPr>
        <w:pStyle w:val="Normal"/>
        <w:numPr>
          <w:ilvl w:val="0"/>
          <w:numId w:val="0"/>
        </w:numPr>
        <w:ind w:left="720" w:hanging="0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numPr>
          <w:ilvl w:val="0"/>
          <w:numId w:val="0"/>
        </w:numPr>
        <w:overflowPunct w:val="true"/>
        <w:bidi w:val="0"/>
        <w:spacing w:before="0" w:after="0"/>
        <w:ind w:left="-567" w:right="0" w:hanging="0"/>
        <w:jc w:val="left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>
      <w:pPr>
        <w:pStyle w:val="Normal"/>
        <w:numPr>
          <w:ilvl w:val="0"/>
          <w:numId w:val="0"/>
        </w:numPr>
        <w:ind w:left="720" w:hanging="0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numPr>
          <w:ilvl w:val="0"/>
          <w:numId w:val="1"/>
        </w:numPr>
        <w:tabs>
          <w:tab w:val="clear" w:pos="720"/>
          <w:tab w:val="left" w:pos="177" w:leader="none"/>
        </w:tabs>
        <w:overflowPunct w:val="true"/>
        <w:bidi w:val="0"/>
        <w:spacing w:before="0" w:after="0"/>
        <w:ind w:left="-567" w:right="0" w:hanging="340"/>
        <w:jc w:val="left"/>
        <w:rPr/>
      </w:pPr>
      <w:r>
        <w:rPr>
          <w:rFonts w:eastAsia="Times New Roman"/>
          <w:sz w:val="20"/>
          <w:szCs w:val="20"/>
          <w:lang w:val="ru-RU"/>
        </w:rPr>
        <w:t xml:space="preserve">Идентификационный код закупки: </w:t>
      </w:r>
      <w:r>
        <w:rPr>
          <w:rFonts w:eastAsia="Times New Roman"/>
          <w:sz w:val="20"/>
          <w:szCs w:val="20"/>
          <w:lang w:val="en-US"/>
        </w:rPr>
        <w:t>212027401807002740100102010010000244</w:t>
      </w:r>
    </w:p>
    <w:p>
      <w:pPr>
        <w:pStyle w:val="Normal"/>
        <w:numPr>
          <w:ilvl w:val="0"/>
          <w:numId w:val="0"/>
        </w:numPr>
        <w:ind w:left="720" w:hanging="0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numPr>
          <w:ilvl w:val="0"/>
          <w:numId w:val="1"/>
        </w:numPr>
        <w:tabs>
          <w:tab w:val="clear" w:pos="720"/>
          <w:tab w:val="left" w:pos="232" w:leader="none"/>
        </w:tabs>
        <w:overflowPunct w:val="true"/>
        <w:bidi w:val="0"/>
        <w:spacing w:before="0" w:after="0"/>
        <w:ind w:left="-567" w:right="0" w:hanging="340"/>
        <w:jc w:val="left"/>
        <w:rPr/>
      </w:pPr>
      <w:r>
        <w:rPr>
          <w:rFonts w:eastAsia="Times New Roman"/>
          <w:sz w:val="20"/>
          <w:szCs w:val="20"/>
          <w:lang w:val="ru-RU"/>
        </w:rPr>
        <w:t xml:space="preserve">Наименование предмета электронного аукциона: </w:t>
      </w:r>
      <w:r>
        <w:rPr>
          <w:rFonts w:eastAsia="Times New Roman"/>
          <w:sz w:val="20"/>
          <w:szCs w:val="20"/>
          <w:lang w:val="en-US"/>
        </w:rPr>
        <w:t>Закупка медицинского оборудования</w:t>
      </w:r>
    </w:p>
    <w:p>
      <w:pPr>
        <w:pStyle w:val="Normal"/>
        <w:widowControl/>
        <w:numPr>
          <w:ilvl w:val="0"/>
          <w:numId w:val="0"/>
        </w:numPr>
        <w:overflowPunct w:val="true"/>
        <w:bidi w:val="0"/>
        <w:spacing w:before="0" w:after="0"/>
        <w:ind w:left="299" w:right="0" w:hanging="0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numPr>
          <w:ilvl w:val="0"/>
          <w:numId w:val="1"/>
        </w:numPr>
        <w:tabs>
          <w:tab w:val="clear" w:pos="720"/>
          <w:tab w:val="left" w:pos="259" w:leader="none"/>
        </w:tabs>
        <w:overflowPunct w:val="true"/>
        <w:bidi w:val="0"/>
        <w:spacing w:before="0" w:after="0"/>
        <w:ind w:left="-567" w:right="0" w:hanging="340"/>
        <w:jc w:val="left"/>
        <w:rPr/>
      </w:pPr>
      <w:r>
        <w:rPr>
          <w:rFonts w:eastAsia="Times New Roman"/>
          <w:sz w:val="20"/>
          <w:szCs w:val="20"/>
        </w:rPr>
        <w:t>Начальная (максимальная) цена государственного контракта: 647 800,00 руб.</w:t>
      </w:r>
    </w:p>
    <w:p>
      <w:pPr>
        <w:pStyle w:val="Normal"/>
        <w:numPr>
          <w:ilvl w:val="0"/>
          <w:numId w:val="0"/>
        </w:numPr>
        <w:ind w:left="720" w:hanging="0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widowControl/>
        <w:numPr>
          <w:ilvl w:val="0"/>
          <w:numId w:val="1"/>
        </w:numPr>
        <w:tabs>
          <w:tab w:val="clear" w:pos="720"/>
          <w:tab w:val="left" w:pos="423" w:leader="none"/>
        </w:tabs>
        <w:overflowPunct w:val="true"/>
        <w:bidi w:val="0"/>
        <w:spacing w:before="0" w:after="0"/>
        <w:ind w:left="-567" w:right="0" w:hanging="340"/>
        <w:jc w:val="both"/>
        <w:rPr/>
      </w:pPr>
      <w:r>
        <w:rPr>
          <w:sz w:val="20"/>
          <w:szCs w:val="20"/>
        </w:rPr>
        <w:t xml:space="preserve">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2">
        <w:r>
          <w:rPr>
            <w:rStyle w:val="Style18"/>
            <w:sz w:val="20"/>
            <w:szCs w:val="20"/>
            <w:lang w:val="ru-RU" w:eastAsia="en-US" w:bidi="ar-SA"/>
          </w:rPr>
          <w:t>http://zakupki.gov.ru/</w:t>
        </w:r>
      </w:hyperlink>
      <w:r>
        <w:rPr>
          <w:sz w:val="20"/>
          <w:szCs w:val="20"/>
        </w:rPr>
        <w:t xml:space="preserve"> </w:t>
      </w:r>
      <w:r>
        <w:rPr>
          <w:sz w:val="20"/>
          <w:szCs w:val="20"/>
          <w:lang w:val="en-US"/>
        </w:rPr>
        <w:t>06.07.21 11:16:00 (MSK+02:00)</w:t>
      </w:r>
      <w:r>
        <w:rPr>
          <w:sz w:val="20"/>
          <w:szCs w:val="20"/>
        </w:rPr>
        <w:t xml:space="preserve">, а также на сайте электронной площадки «РАД Госзакупки» </w:t>
      </w:r>
      <w:hyperlink r:id="rId3">
        <w:bookmarkStart w:id="4" w:name="__DdeLink__334_3297638160"/>
        <w:r>
          <w:rPr>
            <w:rStyle w:val="Style18"/>
            <w:sz w:val="20"/>
            <w:szCs w:val="20"/>
            <w:lang w:val="ru-RU" w:eastAsia="en-US" w:bidi="ar-SA"/>
          </w:rPr>
          <w:t>http://</w:t>
        </w:r>
        <w:r>
          <w:rPr>
            <w:rStyle w:val="Style18"/>
            <w:sz w:val="20"/>
            <w:szCs w:val="20"/>
            <w:lang w:val="en-US" w:eastAsia="en-US" w:bidi="ar-SA"/>
          </w:rPr>
          <w:t>www.gz.lot-online</w:t>
        </w:r>
        <w:r>
          <w:rPr>
            <w:rStyle w:val="Style18"/>
            <w:sz w:val="20"/>
            <w:szCs w:val="20"/>
            <w:lang w:val="ru-RU" w:eastAsia="en-US" w:bidi="ar-SA"/>
          </w:rPr>
          <w:t>.ru/</w:t>
        </w:r>
      </w:hyperlink>
      <w:bookmarkEnd w:id="4"/>
    </w:p>
    <w:p>
      <w:pPr>
        <w:pStyle w:val="Normal"/>
        <w:widowControl/>
        <w:numPr>
          <w:ilvl w:val="0"/>
          <w:numId w:val="0"/>
        </w:numPr>
        <w:tabs>
          <w:tab w:val="clear" w:pos="720"/>
          <w:tab w:val="left" w:pos="423" w:leader="none"/>
        </w:tabs>
        <w:overflowPunct w:val="true"/>
        <w:bidi w:val="0"/>
        <w:spacing w:before="0" w:after="0"/>
        <w:ind w:left="299" w:right="0" w:hanging="0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widowControl/>
        <w:numPr>
          <w:ilvl w:val="0"/>
          <w:numId w:val="1"/>
        </w:numPr>
        <w:tabs>
          <w:tab w:val="clear" w:pos="720"/>
          <w:tab w:val="left" w:pos="423" w:leader="none"/>
        </w:tabs>
        <w:overflowPunct w:val="true"/>
        <w:bidi w:val="0"/>
        <w:spacing w:before="0" w:after="0"/>
        <w:ind w:left="-567" w:right="0" w:hanging="340"/>
        <w:jc w:val="left"/>
        <w:rPr/>
      </w:pPr>
      <w:r>
        <w:rPr>
          <w:rFonts w:eastAsia="Times New Roman"/>
          <w:sz w:val="20"/>
          <w:szCs w:val="20"/>
        </w:rPr>
        <w:t>Состав</w:t>
      </w:r>
      <w:r>
        <w:rPr>
          <w:rFonts w:eastAsia="Times New Roman"/>
          <w:sz w:val="20"/>
          <w:szCs w:val="20"/>
          <w:lang w:val="ru-RU"/>
        </w:rPr>
        <w:t xml:space="preserve"> </w:t>
      </w:r>
      <w:r>
        <w:rPr>
          <w:rFonts w:eastAsia="Times New Roman"/>
          <w:sz w:val="20"/>
          <w:szCs w:val="20"/>
          <w:lang w:val="en-US"/>
        </w:rPr>
        <w:t>Еди</w:t>
      </w:r>
      <w:r>
        <w:rPr>
          <w:rFonts w:eastAsia="Times New Roman"/>
          <w:sz w:val="20"/>
          <w:szCs w:val="20"/>
          <w:lang w:val="ru-RU"/>
        </w:rPr>
        <w:t xml:space="preserve">ной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9916" w:type="dxa"/>
        <w:jc w:val="left"/>
        <w:tblInd w:w="-573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5385"/>
        <w:gridCol w:w="4530"/>
      </w:tblGrid>
      <w:tr>
        <w:trPr/>
        <w:tc>
          <w:tcPr>
            <w:tcW w:w="5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57" w:right="0" w:hanging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Роль</w:t>
            </w:r>
          </w:p>
        </w:tc>
      </w:tr>
      <w:tr>
        <w:trPr/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5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Гареева Дания  Ильдаровна</w:t>
            </w:r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</w:tr>
      <w:tr>
        <w:trPr/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5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Булатова  Гульнара  Расулевна</w:t>
            </w:r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</w:tr>
      <w:tr>
        <w:trPr/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5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Ахунова  Гульназ  Ильгиновна</w:t>
            </w:r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</w:tr>
      <w:tr>
        <w:trPr/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5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Галиева  Алевтина  Евгеньевна</w:t>
            </w:r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</w:tr>
      <w:tr>
        <w:trPr/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5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Камалетдинова  Лилия  Разилевна</w:t>
            </w:r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</w:tr>
      <w:tr>
        <w:trPr/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5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Имаева Роза Зульфакаровна</w:t>
            </w:r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</w:tr>
      <w:tr>
        <w:trPr/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5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Арсланова  Ралия  Илдусовна</w:t>
            </w:r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widowControl/>
        <w:overflowPunct w:val="true"/>
        <w:bidi w:val="0"/>
        <w:spacing w:before="0" w:after="0"/>
        <w:ind w:left="-567" w:right="0" w:hanging="0"/>
        <w:jc w:val="both"/>
        <w:rPr/>
      </w:pPr>
      <w:r>
        <w:rPr>
          <w:rFonts w:eastAsia="Times New Roman"/>
          <w:sz w:val="20"/>
          <w:szCs w:val="20"/>
        </w:rPr>
        <w:t>На заседании Единой комиссии по рассмотрению заявок на участие в электронном аукционе присутствовали:</w:t>
      </w:r>
    </w:p>
    <w:tbl>
      <w:tblPr>
        <w:tblW w:w="9924" w:type="dxa"/>
        <w:jc w:val="left"/>
        <w:tblInd w:w="-58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5384"/>
        <w:gridCol w:w="4539"/>
      </w:tblGrid>
      <w:tr>
        <w:trPr/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57" w:right="0" w:hanging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4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Роль</w:t>
            </w:r>
          </w:p>
        </w:tc>
      </w:tr>
      <w:tr>
        <w:trPr/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5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Булатова  Гульнара  Расулевна</w:t>
            </w:r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</w:tr>
      <w:tr>
        <w:trPr/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5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Ахунова  Гульназ  Ильгиновна</w:t>
            </w:r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</w:tr>
      <w:tr>
        <w:trPr/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5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Камалетдинова  Лилия  Разилевна</w:t>
            </w:r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</w:tr>
      <w:tr>
        <w:trPr/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5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Арсланова  Ралия  Илдусовна</w:t>
            </w:r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widowControl/>
        <w:overflowPunct w:val="true"/>
        <w:bidi w:val="0"/>
        <w:spacing w:before="0" w:after="0"/>
        <w:ind w:left="-567" w:right="0" w:hanging="0"/>
        <w:jc w:val="both"/>
        <w:rPr/>
      </w:pPr>
      <w:r>
        <w:rPr>
          <w:rFonts w:eastAsia="Times New Roman"/>
          <w:sz w:val="20"/>
          <w:szCs w:val="20"/>
        </w:rPr>
        <w:t xml:space="preserve">Всего на заседании присутствовало </w:t>
      </w:r>
      <w:r>
        <w:rPr>
          <w:rFonts w:eastAsia="Times New Roman"/>
          <w:sz w:val="20"/>
          <w:szCs w:val="20"/>
          <w:lang w:val="en-US"/>
        </w:rPr>
        <w:t xml:space="preserve">4 </w:t>
      </w:r>
      <w:r>
        <w:rPr>
          <w:rFonts w:eastAsia="Times New Roman"/>
          <w:sz w:val="20"/>
          <w:szCs w:val="20"/>
          <w:lang w:val="ru-RU"/>
        </w:rPr>
        <w:t>члена(ов) Единой комиссии. Кворум имеется. Заседание правомочно.</w:t>
      </w:r>
    </w:p>
    <w:p>
      <w:pPr>
        <w:pStyle w:val="Normal"/>
        <w:widowControl/>
        <w:tabs>
          <w:tab w:val="clear" w:pos="720"/>
          <w:tab w:val="left" w:pos="423" w:leader="none"/>
        </w:tabs>
        <w:overflowPunct w:val="true"/>
        <w:bidi w:val="0"/>
        <w:spacing w:before="0" w:after="0"/>
        <w:ind w:left="0" w:right="0" w:hanging="0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widowControl/>
        <w:numPr>
          <w:ilvl w:val="0"/>
          <w:numId w:val="1"/>
        </w:numPr>
        <w:tabs>
          <w:tab w:val="clear" w:pos="720"/>
          <w:tab w:val="left" w:pos="423" w:leader="none"/>
        </w:tabs>
        <w:overflowPunct w:val="true"/>
        <w:bidi w:val="0"/>
        <w:spacing w:before="0" w:after="0"/>
        <w:ind w:left="-567" w:right="0" w:hanging="340"/>
        <w:jc w:val="both"/>
        <w:rPr/>
      </w:pPr>
      <w:r>
        <w:rPr>
          <w:rFonts w:eastAsia="Times New Roman"/>
          <w:sz w:val="20"/>
          <w:szCs w:val="20"/>
        </w:rPr>
        <w:t xml:space="preserve">На основании протокола проведения электронного аукциона № </w:t>
      </w:r>
      <w:r>
        <w:rPr>
          <w:rFonts w:eastAsia="Times New Roman"/>
          <w:sz w:val="20"/>
          <w:szCs w:val="20"/>
          <w:lang w:val="en-US"/>
        </w:rPr>
        <w:t xml:space="preserve">0301200061921000065 </w:t>
      </w:r>
      <w:r>
        <w:rPr>
          <w:rFonts w:eastAsia="Times New Roman"/>
          <w:sz w:val="20"/>
          <w:szCs w:val="20"/>
          <w:lang w:val="ru-RU"/>
        </w:rPr>
        <w:t>были рассмотрены вторые части заявок следующих участников аукциона</w:t>
      </w:r>
      <w:r>
        <w:rPr>
          <w:rFonts w:eastAsia="Times New Roman"/>
          <w:sz w:val="20"/>
          <w:szCs w:val="20"/>
        </w:rPr>
        <w:t>: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60" w:type="dxa"/>
        <w:jc w:val="left"/>
        <w:tblInd w:w="-59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725"/>
        <w:gridCol w:w="2145"/>
        <w:gridCol w:w="3533"/>
        <w:gridCol w:w="2556"/>
      </w:tblGrid>
      <w:tr>
        <w:trPr/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25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2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25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3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25"/>
              <w:jc w:val="center"/>
              <w:rPr>
                <w:rFonts w:ascii="Times New Roman" w:hAnsi="Times New Roman" w:eastAsia="" w:cs="Times New Roman" w:eastAsiaTheme="minorEastAsia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" w:cs="Times New Roman" w:eastAsiaTheme="minorEastAsia"/>
                <w:b/>
                <w:bCs/>
                <w:color w:val="00000A"/>
                <w:kern w:val="0"/>
                <w:sz w:val="20"/>
                <w:szCs w:val="20"/>
                <w:lang w:val="ru-RU" w:eastAsia="ru-RU" w:bidi="ar-SA"/>
              </w:rPr>
              <w:t>Участник электронного аукциона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Style25"/>
              <w:jc w:val="center"/>
              <w:rPr>
                <w:rFonts w:ascii="Times New Roman" w:hAnsi="Times New Roman" w:eastAsia="" w:cs="Times New Roman" w:eastAsiaTheme="minorEastAsia"/>
                <w:b/>
                <w:b/>
                <w:bCs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" w:cs="Times New Roman" w:eastAsiaTheme="minorEastAsia"/>
                <w:b/>
                <w:bCs/>
                <w:color w:val="00000A"/>
                <w:kern w:val="0"/>
                <w:sz w:val="20"/>
                <w:szCs w:val="20"/>
                <w:lang w:val="ru-RU" w:eastAsia="ru-RU" w:bidi="ar-SA"/>
              </w:rPr>
              <w:t>Сумма предложения</w:t>
            </w:r>
          </w:p>
        </w:tc>
      </w:tr>
      <w:tr>
        <w:trPr/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25"/>
              <w:rPr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25"/>
              <w:rPr/>
            </w:pPr>
            <w:r>
              <w:rPr>
                <w:sz w:val="20"/>
                <w:szCs w:val="20"/>
                <w:lang w:val="en-US"/>
              </w:rPr>
              <w:t>EA-105868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25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"РКМЕД"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Style25"/>
              <w:rPr/>
            </w:pPr>
            <w:r>
              <w:rPr>
                <w:sz w:val="20"/>
                <w:szCs w:val="20"/>
                <w:lang w:val="en-US"/>
              </w:rPr>
              <w:t>539 308,00 руб.</w:t>
            </w:r>
          </w:p>
        </w:tc>
      </w:tr>
      <w:tr>
        <w:trPr/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25"/>
              <w:rPr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25"/>
              <w:rPr/>
            </w:pPr>
            <w:r>
              <w:rPr>
                <w:sz w:val="20"/>
                <w:szCs w:val="20"/>
                <w:lang w:val="en-US"/>
              </w:rPr>
              <w:t>EA-105672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25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"АЙКЕЯ"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Style25"/>
              <w:rPr/>
            </w:pPr>
            <w:r>
              <w:rPr>
                <w:sz w:val="20"/>
                <w:szCs w:val="20"/>
                <w:lang w:val="en-US"/>
              </w:rPr>
              <w:t>536 069,00 руб.</w:t>
            </w:r>
          </w:p>
        </w:tc>
      </w:tr>
    </w:tbl>
    <w:p>
      <w:pPr>
        <w:pStyle w:val="Normal"/>
        <w:widowControl/>
        <w:tabs>
          <w:tab w:val="clear" w:pos="720"/>
          <w:tab w:val="left" w:pos="423" w:leader="none"/>
        </w:tabs>
        <w:overflowPunct w:val="true"/>
        <w:bidi w:val="0"/>
        <w:spacing w:before="0" w:after="0"/>
        <w:ind w:left="-567" w:right="0" w:hanging="0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widowControl/>
        <w:numPr>
          <w:ilvl w:val="0"/>
          <w:numId w:val="1"/>
        </w:numPr>
        <w:tabs>
          <w:tab w:val="clear" w:pos="720"/>
          <w:tab w:val="left" w:pos="423" w:leader="none"/>
        </w:tabs>
        <w:overflowPunct w:val="true"/>
        <w:bidi w:val="0"/>
        <w:spacing w:before="0" w:after="0"/>
        <w:ind w:left="-567" w:right="0" w:hanging="340"/>
        <w:jc w:val="both"/>
        <w:rPr/>
      </w:pPr>
      <w:r>
        <w:rPr>
          <w:rFonts w:eastAsia="Times New Roman"/>
          <w:sz w:val="20"/>
          <w:szCs w:val="20"/>
          <w:lang w:val="ru-RU"/>
        </w:rPr>
        <w:t>Единая комиссия, руководствуясь ст. 6</w:t>
      </w:r>
      <w:r>
        <w:rPr>
          <w:rFonts w:eastAsia="Times New Roman"/>
          <w:sz w:val="20"/>
          <w:szCs w:val="20"/>
          <w:lang w:val="en-US"/>
        </w:rPr>
        <w:t>9</w:t>
      </w:r>
      <w:r>
        <w:rPr>
          <w:rFonts w:eastAsia="Times New Roman"/>
          <w:sz w:val="20"/>
          <w:szCs w:val="20"/>
          <w:lang w:val="ru-RU"/>
        </w:rPr>
        <w:t xml:space="preserve"> Федерального закона от 05 апреля 2013 г. №44-ФЗ,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закупки, на предмет их соответствия требованиям, установленным документацией об электронном аукционе, и приняла следующее решение:</w:t>
      </w:r>
    </w:p>
    <w:p>
      <w:pPr>
        <w:pStyle w:val="Normal"/>
        <w:widowControl/>
        <w:numPr>
          <w:ilvl w:val="0"/>
          <w:numId w:val="0"/>
        </w:numPr>
        <w:tabs>
          <w:tab w:val="clear" w:pos="720"/>
          <w:tab w:val="left" w:pos="423" w:leader="none"/>
        </w:tabs>
        <w:overflowPunct w:val="true"/>
        <w:bidi w:val="0"/>
        <w:spacing w:before="0" w:after="0"/>
        <w:ind w:left="153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tbl>
      <w:tblPr>
        <w:tblW w:w="9945" w:type="dxa"/>
        <w:jc w:val="left"/>
        <w:tblInd w:w="-580" w:type="dxa"/>
        <w:tblCellMar>
          <w:top w:w="55" w:type="dxa"/>
          <w:left w:w="10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80"/>
        <w:gridCol w:w="1590"/>
        <w:gridCol w:w="3225"/>
        <w:gridCol w:w="2729"/>
        <w:gridCol w:w="1421"/>
      </w:tblGrid>
      <w:tr>
        <w:trPr/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57" w:right="0" w:hanging="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57" w:right="0" w:hanging="0"/>
              <w:jc w:val="center"/>
              <w:rPr>
                <w:b/>
                <w:b/>
                <w:bCs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Решение о соответствии или несоответствии заявки требованиям документации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Обоснование решения</w:t>
            </w:r>
          </w:p>
        </w:tc>
      </w:tr>
      <w:tr>
        <w:trPr/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/>
            </w:pPr>
            <w:r>
              <w:rPr>
                <w:sz w:val="20"/>
                <w:szCs w:val="20"/>
              </w:rPr>
              <w:t/>
            </w: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EA-105868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"РКМЕД"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/>
            </w:pPr>
            <w:r>
              <w:rPr>
                <w:sz w:val="20"/>
                <w:szCs w:val="20"/>
              </w:rPr>
              <w:t/>
            </w: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EA-105672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"АЙКЕЯ"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widowControl/>
        <w:overflowPunct w:val="true"/>
        <w:bidi w:val="0"/>
        <w:spacing w:before="0" w:after="0"/>
        <w:ind w:left="-567" w:right="0" w:hanging="0"/>
        <w:jc w:val="left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widowControl/>
        <w:overflowPunct w:val="true"/>
        <w:bidi w:val="0"/>
        <w:spacing w:before="0" w:after="0"/>
        <w:ind w:left="-567" w:right="0" w:hanging="0"/>
        <w:jc w:val="both"/>
        <w:rPr/>
      </w:pPr>
      <w:r>
        <w:rPr>
          <w:rFonts w:eastAsia="Times New Roman"/>
          <w:sz w:val="20"/>
          <w:szCs w:val="20"/>
        </w:rPr>
        <w:t>Сведения о решении каждого члена Единой комиссии о соответствии (несоответствии) заявок участников электронного аукциона требованиям:</w:t>
      </w:r>
    </w:p>
    <w:tbl>
      <w:tblPr>
        <w:tblW w:w="9921" w:type="dxa"/>
        <w:jc w:val="left"/>
        <w:tblInd w:w="-558" w:type="dxa"/>
        <w:tblCellMar>
          <w:top w:w="55" w:type="dxa"/>
          <w:left w:w="10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69"/>
        <w:gridCol w:w="1590"/>
        <w:gridCol w:w="3217"/>
        <w:gridCol w:w="2728"/>
        <w:gridCol w:w="1417"/>
      </w:tblGrid>
      <w:tr>
        <w:trPr/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-170" w:hanging="0"/>
              <w:jc w:val="center"/>
              <w:rPr/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/>
              <w:tabs>
                <w:tab w:val="clear" w:pos="720"/>
                <w:tab w:val="left" w:pos="1304" w:leader="none"/>
              </w:tabs>
              <w:overflowPunct w:val="true"/>
              <w:bidi w:val="0"/>
              <w:spacing w:before="0" w:after="0"/>
              <w:ind w:left="57" w:right="170" w:hanging="0"/>
              <w:jc w:val="center"/>
              <w:rPr>
                <w:b/>
                <w:b/>
                <w:bCs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ind w:right="-157" w:hanging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ind w:right="-157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Normal"/>
              <w:ind w:right="-157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Решение члена комиссии</w:t>
            </w:r>
          </w:p>
        </w:tc>
      </w:tr>
      <w:tr>
        <w:trPr/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EA-105868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"РКМЕД"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Булатова  Гульнара  Расулевна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 требованиям</w:t>
            </w:r>
          </w:p>
        </w:tc>
      </w:tr>
      <w:tr>
        <w:trPr/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EA-105868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"РКМЕД"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Ахунова  Гульназ  Ильгиновна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 требованиям</w:t>
            </w:r>
          </w:p>
        </w:tc>
      </w:tr>
      <w:tr>
        <w:trPr/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EA-105868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"РКМЕД"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Камалетдинова  Лилия  Разилевна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 требованиям</w:t>
            </w:r>
          </w:p>
        </w:tc>
      </w:tr>
      <w:tr>
        <w:trPr/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EA-105868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"РКМЕД"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Арсланова  Ралия  Илдусовна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 требованиям</w:t>
            </w:r>
          </w:p>
        </w:tc>
      </w:tr>
      <w:tr>
        <w:trPr/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EA-105672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"АЙКЕЯ"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Булатова  Гульнара  Расулевна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 требованиям</w:t>
            </w:r>
          </w:p>
        </w:tc>
      </w:tr>
      <w:tr>
        <w:trPr/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EA-105672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"АЙКЕЯ"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Ахунова  Гульназ  Ильгиновна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 требованиям</w:t>
            </w:r>
          </w:p>
        </w:tc>
      </w:tr>
      <w:tr>
        <w:trPr/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EA-105672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"АЙКЕЯ"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Камалетдинова  Лилия  Разилевна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 требованиям</w:t>
            </w:r>
          </w:p>
        </w:tc>
      </w:tr>
      <w:tr>
        <w:trPr/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EA-105672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"АЙКЕЯ"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Арсланова  Ралия  Илдусовна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 требованиям</w:t>
            </w:r>
          </w:p>
        </w:tc>
      </w:tr>
    </w:tbl>
    <w:p>
      <w:pPr>
        <w:pStyle w:val="Normal"/>
        <w:widowControl/>
        <w:tabs>
          <w:tab w:val="clear" w:pos="720"/>
          <w:tab w:val="left" w:pos="423" w:leader="none"/>
        </w:tabs>
        <w:overflowPunct w:val="true"/>
        <w:bidi w:val="0"/>
        <w:spacing w:before="0" w:after="0"/>
        <w:ind w:left="-567" w:right="0" w:hanging="340"/>
        <w:jc w:val="left"/>
        <w:rPr/>
      </w:pPr>
      <w:r>
        <w:rPr>
          <w:rFonts w:eastAsia="Times New Roman"/>
          <w:sz w:val="20"/>
          <w:szCs w:val="20"/>
          <w:lang w:val="en-US"/>
        </w:rPr>
        <w:tab/>
        <w:t/>
      </w:r>
    </w:p>
    <w:p>
      <w:pPr>
        <w:pStyle w:val="Normal"/>
        <w:widowControl/>
        <w:tabs>
          <w:tab w:val="clear" w:pos="720"/>
          <w:tab w:val="left" w:pos="423" w:leader="none"/>
        </w:tabs>
        <w:overflowPunct w:val="true"/>
        <w:bidi w:val="0"/>
        <w:spacing w:before="0" w:after="0"/>
        <w:ind w:left="0" w:right="0" w:hanging="421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numPr>
          <w:ilvl w:val="0"/>
          <w:numId w:val="1"/>
        </w:numPr>
        <w:tabs>
          <w:tab w:val="clear" w:pos="720"/>
          <w:tab w:val="left" w:pos="423" w:leader="none"/>
        </w:tabs>
        <w:overflowPunct w:val="true"/>
        <w:bidi w:val="0"/>
        <w:spacing w:before="0" w:after="0"/>
        <w:ind w:left="-567" w:right="0" w:hanging="340"/>
        <w:jc w:val="both"/>
        <w:rPr/>
      </w:pPr>
      <w:r>
        <w:rPr>
          <w:rFonts w:eastAsia="Times New Roman"/>
          <w:sz w:val="20"/>
          <w:szCs w:val="20"/>
          <w:lang w:val="ru-RU"/>
        </w:rPr>
        <w:t xml:space="preserve">На основании результатов рассмотрения вторых частей заявок на участие в электронном аукционе и в соответствии с ч. 10 ст. 69 Федерального закона от 05 апреля 2013 г. №44-ФЗ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 xml:space="preserve">контракт заключается с участником - 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 xml:space="preserve">ОБЩЕСТВО С ОГРАНИЧЕННОЙ ОТВЕТСТВЕННОСТЬЮ "АЙКЕЯ",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widowControl/>
        <w:numPr>
          <w:ilvl w:val="0"/>
          <w:numId w:val="0"/>
        </w:numPr>
        <w:tabs>
          <w:tab w:val="clear" w:pos="720"/>
          <w:tab w:val="left" w:pos="423" w:leader="none"/>
        </w:tabs>
        <w:overflowPunct w:val="true"/>
        <w:bidi w:val="0"/>
        <w:spacing w:before="0" w:after="0"/>
        <w:ind w:left="-567" w:right="0" w:hanging="0"/>
        <w:jc w:val="both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widowControl/>
        <w:numPr>
          <w:ilvl w:val="0"/>
          <w:numId w:val="1"/>
        </w:numPr>
        <w:tabs>
          <w:tab w:val="clear" w:pos="720"/>
          <w:tab w:val="left" w:pos="423" w:leader="none"/>
        </w:tabs>
        <w:overflowPunct w:val="true"/>
        <w:bidi w:val="0"/>
        <w:spacing w:before="0" w:after="0"/>
        <w:ind w:left="-567" w:right="0" w:hanging="340"/>
        <w:jc w:val="both"/>
        <w:rPr/>
      </w:pPr>
      <w:r>
        <w:rPr>
          <w:rFonts w:eastAsia="Times New Roman"/>
          <w:sz w:val="20"/>
          <w:szCs w:val="20"/>
          <w:lang w:val="ru-RU"/>
        </w:rPr>
        <w:t xml:space="preserve">Протокол рассмотрения заявок на участие в электронном аукционе подписан всеми присутствующими на заседании членами Единой комиссии и направлен оператору электронной площадки «РАД Госзакупки», по адресу в сети «Интернет»: </w:t>
      </w:r>
      <w:hyperlink r:id="rId4">
        <w:r>
          <w:rPr>
            <w:rStyle w:val="Style18"/>
            <w:rFonts w:eastAsia="Times New Roman"/>
            <w:sz w:val="20"/>
            <w:szCs w:val="20"/>
            <w:lang w:val="ru-RU" w:eastAsia="en-US" w:bidi="ar-SA"/>
          </w:rPr>
          <w:t>http://</w:t>
        </w:r>
        <w:r>
          <w:rPr>
            <w:rStyle w:val="Style18"/>
            <w:rFonts w:eastAsia="Times New Roman"/>
            <w:sz w:val="20"/>
            <w:szCs w:val="20"/>
            <w:lang w:val="en-US" w:eastAsia="en-US" w:bidi="ar-SA"/>
          </w:rPr>
          <w:t>www.gz.lot-online</w:t>
        </w:r>
        <w:r>
          <w:rPr>
            <w:rStyle w:val="Style18"/>
            <w:rFonts w:eastAsia="Times New Roman"/>
            <w:sz w:val="20"/>
            <w:szCs w:val="20"/>
            <w:lang w:val="ru-RU" w:eastAsia="en-US" w:bidi="ar-SA"/>
          </w:rPr>
          <w:t>.ru/</w:t>
        </w:r>
      </w:hyperlink>
      <w:r>
        <w:rPr>
          <w:rFonts w:eastAsia="Times New Roman"/>
          <w:sz w:val="20"/>
          <w:szCs w:val="20"/>
          <w:lang w:val="ru-RU" w:eastAsia="en-US" w:bidi="ar-SA"/>
        </w:rPr>
        <w:t>.</w:t>
      </w:r>
    </w:p>
    <w:p>
      <w:pPr>
        <w:pStyle w:val="Normal"/>
        <w:widowControl/>
        <w:numPr>
          <w:ilvl w:val="0"/>
          <w:numId w:val="0"/>
        </w:numPr>
        <w:tabs>
          <w:tab w:val="clear" w:pos="720"/>
          <w:tab w:val="left" w:pos="423" w:leader="none"/>
        </w:tabs>
        <w:overflowPunct w:val="true"/>
        <w:bidi w:val="0"/>
        <w:spacing w:before="0" w:after="0"/>
        <w:ind w:left="299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10034" w:type="dxa"/>
        <w:jc w:val="left"/>
        <w:tblInd w:w="-68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935"/>
        <w:gridCol w:w="2678"/>
        <w:gridCol w:w="3421"/>
      </w:tblGrid>
      <w:tr>
        <w:trPr/>
        <w:tc>
          <w:tcPr>
            <w:tcW w:w="3935" w:type="dxa"/>
            <w:tcBorders/>
            <w:shd w:fill="auto" w:val="clear"/>
            <w:vAlign w:val="bottom"/>
          </w:tcPr>
          <w:p>
            <w:pPr>
              <w:pStyle w:val="Style25"/>
              <w:widowControl/>
              <w:overflowPunct w:val="true"/>
              <w:bidi w:val="0"/>
              <w:spacing w:before="0" w:after="0"/>
              <w:ind w:left="57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2678" w:type="dxa"/>
            <w:tcBorders/>
            <w:shd w:fill="auto" w:val="clear"/>
          </w:tcPr>
          <w:p>
            <w:pPr>
              <w:pStyle w:val="Style25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421" w:type="dxa"/>
            <w:tcBorders/>
            <w:shd w:fill="auto" w:val="clear"/>
            <w:vAlign w:val="bottom"/>
          </w:tcPr>
          <w:p>
            <w:pPr>
              <w:pStyle w:val="Style25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Булатова  Гульнара  Расулевна</w:t>
            </w:r>
          </w:p>
        </w:tc>
      </w:tr>
      <w:tr>
        <w:trPr/>
        <w:tc>
          <w:tcPr>
            <w:tcW w:w="3935" w:type="dxa"/>
            <w:tcBorders/>
            <w:shd w:fill="auto" w:val="clear"/>
            <w:vAlign w:val="bottom"/>
          </w:tcPr>
          <w:p>
            <w:pPr>
              <w:pStyle w:val="Style25"/>
              <w:widowControl/>
              <w:overflowPunct w:val="true"/>
              <w:bidi w:val="0"/>
              <w:spacing w:before="0" w:after="0"/>
              <w:ind w:left="57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2678" w:type="dxa"/>
            <w:tcBorders/>
            <w:shd w:fill="auto" w:val="clear"/>
          </w:tcPr>
          <w:p>
            <w:pPr>
              <w:pStyle w:val="Style25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421" w:type="dxa"/>
            <w:tcBorders/>
            <w:shd w:fill="auto" w:val="clear"/>
            <w:vAlign w:val="bottom"/>
          </w:tcPr>
          <w:p>
            <w:pPr>
              <w:pStyle w:val="Style25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Ахунова  Гульназ  Ильгиновна</w:t>
            </w:r>
          </w:p>
        </w:tc>
      </w:tr>
      <w:tr>
        <w:trPr/>
        <w:tc>
          <w:tcPr>
            <w:tcW w:w="3935" w:type="dxa"/>
            <w:tcBorders/>
            <w:shd w:fill="auto" w:val="clear"/>
            <w:vAlign w:val="bottom"/>
          </w:tcPr>
          <w:p>
            <w:pPr>
              <w:pStyle w:val="Style25"/>
              <w:widowControl/>
              <w:overflowPunct w:val="true"/>
              <w:bidi w:val="0"/>
              <w:spacing w:before="0" w:after="0"/>
              <w:ind w:left="57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2678" w:type="dxa"/>
            <w:tcBorders/>
            <w:shd w:fill="auto" w:val="clear"/>
          </w:tcPr>
          <w:p>
            <w:pPr>
              <w:pStyle w:val="Style25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421" w:type="dxa"/>
            <w:tcBorders/>
            <w:shd w:fill="auto" w:val="clear"/>
            <w:vAlign w:val="bottom"/>
          </w:tcPr>
          <w:p>
            <w:pPr>
              <w:pStyle w:val="Style25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Камалетдинова  Лилия  Разилевна</w:t>
            </w:r>
          </w:p>
        </w:tc>
      </w:tr>
      <w:tr>
        <w:trPr/>
        <w:tc>
          <w:tcPr>
            <w:tcW w:w="3935" w:type="dxa"/>
            <w:tcBorders/>
            <w:shd w:fill="auto" w:val="clear"/>
            <w:vAlign w:val="bottom"/>
          </w:tcPr>
          <w:p>
            <w:pPr>
              <w:pStyle w:val="Style25"/>
              <w:widowControl/>
              <w:overflowPunct w:val="true"/>
              <w:bidi w:val="0"/>
              <w:spacing w:before="0" w:after="0"/>
              <w:ind w:left="57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2678" w:type="dxa"/>
            <w:tcBorders/>
            <w:shd w:fill="auto" w:val="clear"/>
          </w:tcPr>
          <w:p>
            <w:pPr>
              <w:pStyle w:val="Style25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421" w:type="dxa"/>
            <w:tcBorders/>
            <w:shd w:fill="auto" w:val="clear"/>
            <w:vAlign w:val="bottom"/>
          </w:tcPr>
          <w:p>
            <w:pPr>
              <w:pStyle w:val="Style25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Арсланова  Ралия  Илдусовна</w:t>
            </w:r>
          </w:p>
        </w:tc>
      </w:tr>
    </w:tbl>
    <w:p>
      <w:pPr>
        <w:pStyle w:val="Normal"/>
        <w:jc w:val="both"/>
        <w:rPr/>
      </w:pPr>
      <w:r>
        <w:rPr/>
      </w:r>
    </w:p>
    <w:sectPr>
      <w:type w:val="nextPage"/>
      <w:pgSz w:w="11906" w:h="16838"/>
      <w:pgMar w:left="1698" w:right="858" w:header="0" w:top="565" w:footer="0" w:bottom="1133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sz w:val="20"/>
        <w:szCs w:val="20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20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overflowPunct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Style17">
    <w:name w:val="Символ нумерации"/>
    <w:qFormat/>
    <w:rPr>
      <w:sz w:val="20"/>
      <w:szCs w:val="20"/>
    </w:rPr>
  </w:style>
  <w:style w:type="character" w:styleId="Style18">
    <w:name w:val="Интернет-ссылка"/>
    <w:rPr>
      <w:color w:val="000080"/>
      <w:u w:val="single"/>
      <w:lang w:val="zxx" w:eastAsia="zxx" w:bidi="zxx"/>
    </w:rPr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0">
    <w:name w:val="Body Text"/>
    <w:basedOn w:val="Normal"/>
    <w:pPr>
      <w:spacing w:lineRule="auto" w:line="288" w:before="0" w:after="140"/>
    </w:pPr>
    <w:rPr/>
  </w:style>
  <w:style w:type="paragraph" w:styleId="Style21">
    <w:name w:val="List"/>
    <w:basedOn w:val="Style20"/>
    <w:pPr/>
    <w:rPr>
      <w:rFonts w:cs="Noto Sans Devanagari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3">
    <w:name w:val="Указатель"/>
    <w:basedOn w:val="Normal"/>
    <w:qFormat/>
    <w:pPr>
      <w:suppressLineNumbers/>
    </w:pPr>
    <w:rPr>
      <w:rFonts w:cs="Arial"/>
    </w:rPr>
  </w:style>
  <w:style w:type="paragraph" w:styleId="Style24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5" w:customStyle="1">
    <w:name w:val="Содержимое таблицы"/>
    <w:basedOn w:val="Normal"/>
    <w:qFormat/>
    <w:pPr/>
    <w:rPr/>
  </w:style>
  <w:style w:type="paragraph" w:styleId="Style26" w:customStyle="1">
    <w:name w:val="Заголовок таблицы"/>
    <w:basedOn w:val="Style25"/>
    <w:qFormat/>
    <w:pPr/>
    <w:rPr/>
  </w:style>
  <w:style w:type="paragraph" w:styleId="Style27" w:customStyle="1">
    <w:name w:val="Текст в заданном формате"/>
    <w:basedOn w:val="Normal"/>
    <w:qFormat/>
    <w:pPr/>
    <w:rPr/>
  </w:style>
  <w:style w:type="paragraph" w:styleId="DocumentMap">
    <w:name w:val="DocumentMap"/>
    <w:qFormat/>
    <w:pPr>
      <w:widowControl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zakupki.gov.ru/" TargetMode="External"/><Relationship Id="rId3" Type="http://schemas.openxmlformats.org/officeDocument/2006/relationships/hyperlink" Target="http://www.gz.lot-online.ru/" TargetMode="External"/><Relationship Id="rId4" Type="http://schemas.openxmlformats.org/officeDocument/2006/relationships/hyperlink" Target="http://www.gz.lot-online.ru/" TargetMode="Externa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Application>LibreOffice/6.3.4.2$Windows_x86 LibreOffice_project/60da17e045e08f1793c57c00ba83cdfce946d0aa</Application>
  <Pages>2</Pages>
  <Words>354</Words>
  <Characters>3197</Characters>
  <CharactersWithSpaces>3470</CharactersWithSpaces>
  <Paragraphs>72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2020-03-20T11:58:46Z</dcterms:modified>
  <cp:revision>42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