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стирке, дезинфекции, глажке белья и спецодежды"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12.08.21 10:43:05 (MSK+00:00)</w:t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Заказчик: </w:t>
      </w:r>
      <w:r>
        <w:rPr>
          <w:rFonts w:eastAsia="Times New Roman"/>
          <w:sz w:val="18"/>
          <w:szCs w:val="18"/>
          <w:lang w:val="en-US"/>
        </w:rPr>
        <w:t>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Наименование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закупки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: </w:t>
      </w:r>
      <w:r>
        <w:rPr>
          <w:rFonts w:eastAsia="Times New Roman"/>
          <w:sz w:val="18"/>
          <w:szCs w:val="18"/>
          <w:lang w:val="en-US"/>
        </w:rPr>
        <w:t xml:space="preserve">Оказание услуг по стирке, дезинфекции, глажке белья и спецодежды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ru-RU"/>
        </w:rPr>
        <w:t>Идентификационный код закупки:</w:t>
      </w:r>
      <w:r>
        <w:rPr>
          <w:rFonts w:eastAsia="Times New Roman"/>
          <w:sz w:val="18"/>
          <w:szCs w:val="18"/>
          <w:lang w:val="ru-RU"/>
        </w:rPr>
        <w:t xml:space="preserve"> 212462904029146320100102300019601244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18"/>
          <w:szCs w:val="18"/>
        </w:rPr>
        <w:t>833 250,00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20"/>
          <w:szCs w:val="20"/>
        </w:rPr>
      </w:r>
    </w:p>
    <w:tbl>
      <w:tblPr>
        <w:tblW w:w="9870" w:type="dxa"/>
        <w:jc w:val="left"/>
        <w:tblInd w:w="1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6"/>
        <w:gridCol w:w="1527"/>
        <w:gridCol w:w="1812"/>
        <w:gridCol w:w="6295"/>
      </w:tblGrid>
      <w:tr>
        <w:trPr/>
        <w:tc>
          <w:tcPr>
            <w:tcW w:w="236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Бекетова 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Наталия Алексеевна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Председатель комиссии</w:t>
            </w:r>
          </w:p>
        </w:tc>
        <w:tc>
          <w:tcPr>
            <w:tcW w:w="629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color w:val="00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ru-RU" w:eastAsia="zh-CN" w:bidi="ar-SA"/>
              </w:rPr>
              <w:t>Начальник отдела по закупкам в сфере оказания услуг, выполнения работ ОКУ «Центр закупок Курской области»</w:t>
            </w:r>
          </w:p>
        </w:tc>
      </w:tr>
      <w:tr>
        <w:trPr/>
        <w:tc>
          <w:tcPr>
            <w:tcW w:w="236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Style23"/>
              <w:widowControl w:val="false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 xml:space="preserve">Томилин </w:t>
            </w:r>
          </w:p>
          <w:p>
            <w:pPr>
              <w:pStyle w:val="Style23"/>
              <w:widowControl w:val="false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Артём Андреевич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6295" w:type="dxa"/>
            <w:tcBorders/>
          </w:tcPr>
          <w:p>
            <w:pPr>
              <w:pStyle w:val="Style23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начальника </w:t>
            </w:r>
            <w:r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val="ru-RU" w:eastAsia="zh-CN" w:bidi="ar-SA"/>
              </w:rPr>
              <w:t>отдела по закупкам в сфере оказания услуг, выполнения работ ОКУ «Центр закупок Курской области»</w:t>
            </w:r>
          </w:p>
        </w:tc>
      </w:tr>
      <w:tr>
        <w:trPr/>
        <w:tc>
          <w:tcPr>
            <w:tcW w:w="236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Style23"/>
              <w:widowControl w:val="false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Енина Полина Олеговна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629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both"/>
              <w:rPr>
                <w:sz w:val="16"/>
                <w:szCs w:val="16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16"/>
                <w:szCs w:val="16"/>
                <w:lang w:val="ru-RU" w:eastAsia="ru-RU" w:bidi="hi-IN"/>
              </w:rPr>
              <w:t>Консультант по закупкам отдела по закупкам в сфере оказания услуг, выполнения работ ОКУ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36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Style23"/>
              <w:widowControl w:val="false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Петкевич </w:t>
            </w:r>
          </w:p>
          <w:p>
            <w:pPr>
              <w:pStyle w:val="Style23"/>
              <w:widowControl w:val="false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>Евгения Александровна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6295" w:type="dxa"/>
            <w:tcBorders/>
          </w:tcPr>
          <w:p>
            <w:pPr>
              <w:pStyle w:val="Style23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главного врача по экономическим вопросам Областного бюджетного учреждения здравоохранения «Курская городская больница №1 имени Николая Сергеевича Короткова» комитета здравоохранения Курской области</w:t>
            </w:r>
          </w:p>
        </w:tc>
      </w:tr>
      <w:tr>
        <w:trPr/>
        <w:tc>
          <w:tcPr>
            <w:tcW w:w="236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Style23"/>
              <w:widowControl w:val="false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Синицина </w:t>
            </w:r>
          </w:p>
          <w:p>
            <w:pPr>
              <w:pStyle w:val="Style23"/>
              <w:widowControl w:val="false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>Юлия Сергеевна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6295" w:type="dxa"/>
            <w:tcBorders/>
          </w:tcPr>
          <w:p>
            <w:pPr>
              <w:pStyle w:val="Style23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Специалист в сфере закупок Областного бюджетного учреждения здравоохранения «Курская городская больница №1 имени Николая Сергеевича Короткова» комитета здравоохранения Курской области</w:t>
            </w:r>
          </w:p>
        </w:tc>
      </w:tr>
      <w:tr>
        <w:trPr>
          <w:trHeight w:val="95" w:hRule="atLeast"/>
        </w:trPr>
        <w:tc>
          <w:tcPr>
            <w:tcW w:w="236" w:type="dxa"/>
            <w:tcBorders/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Style23"/>
              <w:widowControl w:val="false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Селезнёва </w:t>
            </w:r>
          </w:p>
          <w:p>
            <w:pPr>
              <w:pStyle w:val="Style23"/>
              <w:widowControl w:val="false"/>
              <w:rPr>
                <w:b w:val="false"/>
                <w:b w:val="false"/>
                <w:bCs w:val="false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b w:val="false"/>
                <w:bCs w:val="false"/>
                <w:i w:val="false"/>
                <w:iCs w:val="false"/>
                <w:sz w:val="16"/>
                <w:szCs w:val="16"/>
              </w:rPr>
              <w:t>Юлия Андреевна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Style23"/>
              <w:widowControl w:val="false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6295" w:type="dxa"/>
            <w:tcBorders/>
          </w:tcPr>
          <w:p>
            <w:pPr>
              <w:pStyle w:val="Style23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Начальник отдела закупок Областного бюджетного учреждения здравоохранения «Курская городская больница №1 имени Николая Сергеевича Короткова» комитета здравоохранения Курской области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 xml:space="preserve">По окончании срока подачи заявок до 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12.08</w:t>
      </w:r>
      <w:r>
        <w:rPr>
          <w:rFonts w:eastAsia="Times New Roman" w:cs="Times New Roman"/>
          <w:sz w:val="18"/>
          <w:szCs w:val="18"/>
        </w:rPr>
        <w:t xml:space="preserve">.2021 08:00:00 [GMT +3 Москва] была подана единственная заявка от участника закупки, с идентификационным номером: 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ЕА-108255</w:t>
      </w:r>
      <w:r>
        <w:rPr>
          <w:rFonts w:eastAsia="Times New Roman" w:cs="Times New Roman"/>
          <w:sz w:val="18"/>
          <w:szCs w:val="18"/>
        </w:rPr>
        <w:t>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Аукционная комиссия в соответствии с п.3 ч.1 ст. 71 Федерального закона № 44-ФЗ рассмотрела обе части единственной заявки, а также информацию и электронные документы, предусмотренные ч. 11 ст. 24.1 и ч. 8.2 ст. 66 Федерального закона № 44-ФЗ, и приняла решение: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</w:rPr>
      </w:pPr>
      <w:r>
        <w:rPr>
          <w:sz w:val="18"/>
          <w:szCs w:val="18"/>
        </w:rPr>
      </w:r>
    </w:p>
    <w:tbl>
      <w:tblPr>
        <w:tblW w:w="9975" w:type="dxa"/>
        <w:jc w:val="left"/>
        <w:tblInd w:w="-7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1699"/>
        <w:gridCol w:w="3946"/>
        <w:gridCol w:w="1538"/>
        <w:gridCol w:w="2262"/>
      </w:tblGrid>
      <w:tr>
        <w:trPr>
          <w:trHeight w:val="10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Участник закупки/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№</w:t>
            </w: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ЕА-108255</w:t>
            </w:r>
          </w:p>
        </w:tc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  <w:lang w:val="en-US"/>
              </w:rPr>
              <w:t>ОБЩЕСТВО С ОГРАНИЧЕННОЙ ОТВЕТСТВЕННОСТЬЮ "АЛЬБАТРОС-В" / 3662237102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4"/>
      </w:tblGrid>
      <w:tr>
        <w:trPr/>
        <w:tc>
          <w:tcPr>
            <w:tcW w:w="9924" w:type="dxa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 xml:space="preserve">Сведения о решении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 xml:space="preserve">каждого члена </w:t>
            </w:r>
            <w:r>
              <w:rPr>
                <w:rFonts w:eastAsia="Times New Roman"/>
                <w:b/>
                <w:bCs/>
                <w:sz w:val="16"/>
                <w:szCs w:val="16"/>
              </w:rPr>
              <w:t>аукционной комиссии:</w:t>
            </w:r>
          </w:p>
          <w:p>
            <w:pPr>
              <w:pStyle w:val="Normal"/>
              <w:widowControl w:val="false"/>
              <w:ind w:left="-45" w:hanging="0"/>
              <w:jc w:val="center"/>
              <w:rPr>
                <w:rFonts w:eastAsia="Times New Roman"/>
              </w:rPr>
            </w:pPr>
            <w:r>
              <w:rPr>
                <w:b/>
                <w:bCs/>
                <w:sz w:val="16"/>
                <w:szCs w:val="16"/>
              </w:rPr>
            </w:r>
          </w:p>
          <w:tbl>
            <w:tblPr>
              <w:tblW w:w="10219" w:type="dxa"/>
              <w:jc w:val="left"/>
              <w:tblInd w:w="2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21"/>
              <w:gridCol w:w="1315"/>
              <w:gridCol w:w="6583"/>
            </w:tblGrid>
            <w:tr>
              <w:trPr>
                <w:trHeight w:val="100" w:hRule="atLeast"/>
              </w:trPr>
              <w:tc>
                <w:tcPr>
                  <w:tcW w:w="232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Фамилия И.О. членов комиссии</w:t>
                  </w:r>
                </w:p>
              </w:tc>
              <w:tc>
                <w:tcPr>
                  <w:tcW w:w="78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Заявка №</w:t>
                  </w:r>
                  <w:r>
                    <w:rPr>
                      <w:rFonts w:eastAsia="Times New Roman" w:cs="Times New Roman"/>
                      <w:b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ЕА-108255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>
                      <w:rFonts w:ascii="Times New Roman" w:hAnsi="Times New Roman" w:eastAsia="Times New Roman" w:cs="Times New Roman"/>
                      <w:b w:val="false"/>
                      <w:b w:val="false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</w:r>
                </w:p>
              </w:tc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Решение</w:t>
                  </w:r>
                </w:p>
              </w:tc>
              <w:tc>
                <w:tcPr>
                  <w:tcW w:w="6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Основание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Бекетова </w:t>
                  </w:r>
                </w:p>
                <w:p>
                  <w:pPr>
                    <w:pStyle w:val="Style23"/>
                    <w:widowControl w:val="false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Наталия Алексеевна</w:t>
                  </w:r>
                </w:p>
              </w:tc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</w:t>
                  </w:r>
                </w:p>
              </w:tc>
              <w:tc>
                <w:tcPr>
                  <w:tcW w:w="6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 требованиям документации о закупке и сведениям, содержащимся в реестре аккредитованных участников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widowControl w:val="false"/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</w:pPr>
                  <w:r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  <w:t xml:space="preserve">Томилин </w:t>
                  </w:r>
                </w:p>
                <w:p>
                  <w:pPr>
                    <w:pStyle w:val="Style23"/>
                    <w:widowControl w:val="false"/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</w:pPr>
                  <w:r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  <w:t>Артём Андреевич</w:t>
                  </w:r>
                </w:p>
              </w:tc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</w:t>
                  </w:r>
                </w:p>
              </w:tc>
              <w:tc>
                <w:tcPr>
                  <w:tcW w:w="6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 требованиям документации о закупке и сведениям, содержащимся в реестре аккредитованных участников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widowControl w:val="false"/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</w:pPr>
                  <w:r>
                    <w:rPr>
                      <w:rFonts w:eastAsia="Droid Sans Fallback;MS Mincho" w:cs="Lohit Hindi;MS Mincho"/>
                      <w:color w:val="auto"/>
                      <w:kern w:val="2"/>
                      <w:sz w:val="16"/>
                      <w:szCs w:val="16"/>
                      <w:lang w:val="ru-RU" w:eastAsia="zh-CN" w:bidi="hi-IN"/>
                    </w:rPr>
                    <w:t>Енина Полина Олеговна</w:t>
                  </w:r>
                </w:p>
              </w:tc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</w:t>
                  </w:r>
                </w:p>
              </w:tc>
              <w:tc>
                <w:tcPr>
                  <w:tcW w:w="6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 требованиям документации о закупке и сведениям, содержащимся в реестре аккредитованных участников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widowControl w:val="false"/>
                    <w:rPr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sz w:val="16"/>
                      <w:szCs w:val="16"/>
                    </w:rPr>
                  </w:pPr>
                  <w:r>
                    <w:rPr>
                      <w:b w:val="false"/>
                      <w:bCs w:val="false"/>
                      <w:i w:val="false"/>
                      <w:iCs w:val="false"/>
                      <w:sz w:val="16"/>
                      <w:szCs w:val="16"/>
                    </w:rPr>
                    <w:t xml:space="preserve">Петкевич </w:t>
                  </w:r>
                </w:p>
                <w:p>
                  <w:pPr>
                    <w:pStyle w:val="Style23"/>
                    <w:widowControl w:val="false"/>
                    <w:rPr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sz w:val="16"/>
                      <w:szCs w:val="16"/>
                    </w:rPr>
                  </w:pPr>
                  <w:r>
                    <w:rPr>
                      <w:b w:val="false"/>
                      <w:bCs w:val="false"/>
                      <w:i w:val="false"/>
                      <w:iCs w:val="false"/>
                      <w:sz w:val="16"/>
                      <w:szCs w:val="16"/>
                    </w:rPr>
                    <w:t>Евгения Александровна</w:t>
                  </w:r>
                </w:p>
              </w:tc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</w:t>
                  </w:r>
                </w:p>
              </w:tc>
              <w:tc>
                <w:tcPr>
                  <w:tcW w:w="6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 требованиям документации о закупке и сведениям, содержащимся в реестре аккредитованных участников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widowControl w:val="false"/>
                    <w:rPr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sz w:val="16"/>
                      <w:szCs w:val="16"/>
                    </w:rPr>
                  </w:pPr>
                  <w:r>
                    <w:rPr>
                      <w:b w:val="false"/>
                      <w:bCs w:val="false"/>
                      <w:i w:val="false"/>
                      <w:iCs w:val="false"/>
                      <w:sz w:val="16"/>
                      <w:szCs w:val="16"/>
                    </w:rPr>
                    <w:t xml:space="preserve">Синицина </w:t>
                  </w:r>
                </w:p>
                <w:p>
                  <w:pPr>
                    <w:pStyle w:val="Style23"/>
                    <w:widowControl w:val="false"/>
                    <w:rPr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sz w:val="16"/>
                      <w:szCs w:val="16"/>
                    </w:rPr>
                  </w:pPr>
                  <w:r>
                    <w:rPr>
                      <w:b w:val="false"/>
                      <w:bCs w:val="false"/>
                      <w:i w:val="false"/>
                      <w:iCs w:val="false"/>
                      <w:sz w:val="16"/>
                      <w:szCs w:val="16"/>
                    </w:rPr>
                    <w:t>Юлия Сергеевна</w:t>
                  </w:r>
                </w:p>
              </w:tc>
              <w:tc>
                <w:tcPr>
                  <w:tcW w:w="13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</w:t>
                  </w:r>
                </w:p>
              </w:tc>
              <w:tc>
                <w:tcPr>
                  <w:tcW w:w="65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 требованиям документации о закупке и сведениям, содержащимся в реестре аккредитованных участников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widowControl w:val="false"/>
                    <w:rPr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sz w:val="16"/>
                      <w:szCs w:val="16"/>
                    </w:rPr>
                  </w:pPr>
                  <w:r>
                    <w:rPr>
                      <w:b w:val="false"/>
                      <w:bCs w:val="false"/>
                      <w:i w:val="false"/>
                      <w:iCs w:val="false"/>
                      <w:sz w:val="16"/>
                      <w:szCs w:val="16"/>
                    </w:rPr>
                    <w:t xml:space="preserve">Селезнёва </w:t>
                  </w:r>
                </w:p>
                <w:p>
                  <w:pPr>
                    <w:pStyle w:val="Style23"/>
                    <w:widowControl w:val="false"/>
                    <w:rPr>
                      <w:b w:val="false"/>
                      <w:b w:val="false"/>
                      <w:bCs w:val="false"/>
                      <w:i w:val="false"/>
                      <w:i w:val="false"/>
                      <w:iCs w:val="false"/>
                      <w:sz w:val="16"/>
                      <w:szCs w:val="16"/>
                    </w:rPr>
                  </w:pPr>
                  <w:r>
                    <w:rPr>
                      <w:b w:val="false"/>
                      <w:bCs w:val="false"/>
                      <w:i w:val="false"/>
                      <w:iCs w:val="false"/>
                      <w:sz w:val="16"/>
                      <w:szCs w:val="16"/>
                    </w:rPr>
                    <w:t>Юлия Андреевна</w:t>
                  </w:r>
                </w:p>
              </w:tc>
              <w:tc>
                <w:tcPr>
                  <w:tcW w:w="131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</w:t>
                  </w:r>
                </w:p>
              </w:tc>
              <w:tc>
                <w:tcPr>
                  <w:tcW w:w="658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Соответствует требованиям документации о закупке и сведениям, содержащимся в реестре аккредитованных участников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ИТОГО</w:t>
                  </w:r>
                </w:p>
              </w:tc>
              <w:tc>
                <w:tcPr>
                  <w:tcW w:w="78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6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Допустить, признать участником закупки</w:t>
                  </w:r>
                </w:p>
              </w:tc>
              <w:tc>
                <w:tcPr>
                  <w:tcW w:w="78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6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2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Отказать в допуске</w:t>
                  </w:r>
                </w:p>
              </w:tc>
              <w:tc>
                <w:tcPr>
                  <w:tcW w:w="78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/>
                  </w:pPr>
                  <w:r>
                    <w:rPr>
                      <w:rFonts w:eastAsia="Times New Roman" w:cs="Times New Roman"/>
                      <w:b w:val="false"/>
                      <w:sz w:val="16"/>
                      <w:szCs w:val="16"/>
                    </w:rPr>
                    <w:t>0</w:t>
                  </w:r>
                </w:p>
              </w:tc>
            </w:tr>
          </w:tbl>
          <w:p>
            <w:pPr>
              <w:pStyle w:val="Normal"/>
              <w:widowControl w:val="false"/>
              <w:ind w:hanging="0"/>
              <w:jc w:val="center"/>
              <w:rPr>
                <w:rFonts w:eastAsia="Times New Roman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uto" w:line="24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  <w:lang w:val="en-US"/>
        </w:rPr>
        <w:t>Протокол составлен в одном экземпляре, который хранится в ОКУ "Центр закупок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ru-RU"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LibreOffice/7.0.1.2$Windows_x86 LibreOffice_project/7cbcfc562f6eb6708b5ff7d7397325de9e764452</Application>
  <Pages>2</Pages>
  <Words>565</Words>
  <Characters>4145</Characters>
  <CharactersWithSpaces>4623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2021-08-12T10:50:18Z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