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1"/>
          <w:szCs w:val="21"/>
        </w:rPr>
      </w:pPr>
      <w:bookmarkStart w:id="0" w:name="_GoBack"/>
      <w:bookmarkEnd w:id="0"/>
      <w:r>
        <w:rPr>
          <w:rFonts w:eastAsia="Times New Roman"/>
          <w:b/>
          <w:bCs/>
          <w:sz w:val="21"/>
          <w:szCs w:val="21"/>
        </w:rPr>
        <w:t>Протокол №07-01/260</w:t>
      </w:r>
    </w:p>
    <w:p>
      <w:pPr>
        <w:pStyle w:val="Normal"/>
        <w:ind w:firstLine="567"/>
        <w:jc w:val="center"/>
        <w:rPr>
          <w:sz w:val="21"/>
          <w:szCs w:val="21"/>
        </w:rPr>
      </w:pPr>
      <w:r>
        <w:rPr>
          <w:rFonts w:eastAsia="Times New Roman"/>
          <w:b/>
          <w:bCs/>
          <w:sz w:val="21"/>
          <w:szCs w:val="21"/>
        </w:rPr>
        <w:t xml:space="preserve"> </w:t>
      </w:r>
      <w:r>
        <w:rPr>
          <w:rFonts w:eastAsia="Times New Roman"/>
          <w:b/>
          <w:bCs/>
          <w:sz w:val="21"/>
          <w:szCs w:val="21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1"/>
          <w:szCs w:val="21"/>
          <w:lang w:val="en-US"/>
        </w:rPr>
      </w:pPr>
      <w:r>
        <w:rPr>
          <w:sz w:val="21"/>
          <w:szCs w:val="21"/>
          <w:lang w:val="en-US"/>
        </w:rPr>
      </w:r>
    </w:p>
    <w:p>
      <w:pPr>
        <w:pStyle w:val="Normal"/>
        <w:ind w:firstLine="567"/>
        <w:jc w:val="right"/>
        <w:rPr>
          <w:sz w:val="21"/>
          <w:szCs w:val="21"/>
        </w:rPr>
      </w:pPr>
      <w:r>
        <w:rPr>
          <w:rFonts w:eastAsia="Times New Roman"/>
          <w:sz w:val="21"/>
          <w:szCs w:val="21"/>
          <w:lang w:val="en-US"/>
        </w:rPr>
        <w:t xml:space="preserve">07.09.2021 </w:t>
      </w:r>
    </w:p>
    <w:p>
      <w:pPr>
        <w:pStyle w:val="Normal"/>
        <w:ind w:firstLine="567"/>
        <w:rPr>
          <w:rFonts w:eastAsia="Times New Roman"/>
          <w:sz w:val="21"/>
          <w:szCs w:val="21"/>
          <w:lang w:val="en-US"/>
        </w:rPr>
      </w:pPr>
      <w:r>
        <w:rPr>
          <w:rFonts w:eastAsia="Times New Roman"/>
          <w:sz w:val="21"/>
          <w:szCs w:val="21"/>
          <w:lang w:val="en-US"/>
        </w:rPr>
      </w:r>
    </w:p>
    <w:p>
      <w:pPr>
        <w:pStyle w:val="Normal"/>
        <w:rPr>
          <w:sz w:val="21"/>
          <w:szCs w:val="21"/>
        </w:rPr>
      </w:pPr>
      <w:r>
        <w:rPr>
          <w:rFonts w:eastAsia="Times New Roman"/>
          <w:sz w:val="21"/>
          <w:szCs w:val="21"/>
          <w:lang w:val="en-US"/>
        </w:rPr>
        <w:t>Заказчик: ОБЛАСТНОЕ БЮДЖЕТНОЕ УЧРЕЖДЕНИЕ ЗДРАВООХРАНЕНИЯ "КУРСКИЙ ОНКОЛОГИЧЕСКИЙ НАУЧНО-КЛИНИЧЕСКИЙ ЦЕНТР ИМЕНИ Г.Е. ОСТРОВЕРХОВА" КОМИТЕТА ЗДРАВООХРАНЕНИЯ КУРСКОЙ ОБЛАСТИ</w:t>
      </w:r>
    </w:p>
    <w:p>
      <w:pPr>
        <w:pStyle w:val="Normal"/>
        <w:rPr>
          <w:rFonts w:eastAsia="Times New Roman"/>
          <w:sz w:val="21"/>
          <w:szCs w:val="21"/>
          <w:lang w:val="en-US"/>
        </w:rPr>
      </w:pPr>
      <w:r>
        <w:rPr>
          <w:rFonts w:eastAsia="Times New Roman"/>
          <w:sz w:val="21"/>
          <w:szCs w:val="21"/>
          <w:lang w:val="en-US"/>
        </w:rPr>
      </w:r>
    </w:p>
    <w:p>
      <w:pPr>
        <w:pStyle w:val="Normal"/>
        <w:rPr>
          <w:sz w:val="21"/>
          <w:szCs w:val="21"/>
        </w:rPr>
      </w:pPr>
      <w:r>
        <w:rPr>
          <w:rFonts w:eastAsia="Times New Roman"/>
          <w:sz w:val="21"/>
          <w:szCs w:val="21"/>
        </w:rPr>
        <w:t>Наименование</w:t>
      </w:r>
      <w:r>
        <w:rPr>
          <w:rFonts w:eastAsia="Times New Roman"/>
          <w:sz w:val="21"/>
          <w:szCs w:val="21"/>
          <w:lang w:val="en-US"/>
        </w:rPr>
        <w:t xml:space="preserve"> </w:t>
      </w:r>
      <w:r>
        <w:rPr>
          <w:rFonts w:eastAsia="Times New Roman"/>
          <w:sz w:val="21"/>
          <w:szCs w:val="21"/>
        </w:rPr>
        <w:t>закупки</w:t>
      </w:r>
      <w:r>
        <w:rPr>
          <w:rFonts w:eastAsia="Times New Roman"/>
          <w:sz w:val="21"/>
          <w:szCs w:val="21"/>
          <w:lang w:val="en-US"/>
        </w:rPr>
        <w:t xml:space="preserve">: Поставка лекарственного препарата (МНН Флуконазол) </w:t>
      </w:r>
    </w:p>
    <w:p>
      <w:pPr>
        <w:pStyle w:val="Normal"/>
        <w:rPr>
          <w:rFonts w:eastAsia="Times New Roman"/>
          <w:sz w:val="21"/>
          <w:szCs w:val="21"/>
          <w:lang w:val="en-US"/>
        </w:rPr>
      </w:pPr>
      <w:r>
        <w:rPr>
          <w:rFonts w:eastAsia="Times New Roman"/>
          <w:sz w:val="21"/>
          <w:szCs w:val="21"/>
          <w:lang w:val="en-US"/>
        </w:rPr>
      </w:r>
    </w:p>
    <w:p>
      <w:pPr>
        <w:pStyle w:val="Normal"/>
        <w:rPr>
          <w:sz w:val="21"/>
          <w:szCs w:val="21"/>
        </w:rPr>
      </w:pPr>
      <w:r>
        <w:rPr>
          <w:rFonts w:eastAsia="Times New Roman"/>
          <w:sz w:val="21"/>
          <w:szCs w:val="21"/>
        </w:rPr>
        <w:t>Идентификационный код закупки: 212462901772946110100100510782120244</w:t>
      </w:r>
    </w:p>
    <w:p>
      <w:pPr>
        <w:pStyle w:val="Normal"/>
        <w:rPr>
          <w:sz w:val="21"/>
          <w:szCs w:val="21"/>
        </w:rPr>
      </w:pPr>
      <w:r>
        <w:rPr>
          <w:sz w:val="21"/>
          <w:szCs w:val="21"/>
        </w:rPr>
      </w:r>
    </w:p>
    <w:p>
      <w:pPr>
        <w:pStyle w:val="Normal"/>
        <w:rPr>
          <w:sz w:val="21"/>
          <w:szCs w:val="21"/>
        </w:rPr>
      </w:pPr>
      <w:r>
        <w:rPr>
          <w:rFonts w:eastAsia="Times New Roman"/>
          <w:sz w:val="21"/>
          <w:szCs w:val="21"/>
        </w:rPr>
        <w:t>Начальная (максимальная) цена контракта: 65 400,00 руб.</w:t>
      </w:r>
    </w:p>
    <w:p>
      <w:pPr>
        <w:pStyle w:val="Normal"/>
        <w:rPr>
          <w:rFonts w:eastAsia="Times New Roman"/>
          <w:sz w:val="21"/>
          <w:szCs w:val="21"/>
          <w:lang w:val="en-US"/>
        </w:rPr>
      </w:pPr>
      <w:r>
        <w:rPr>
          <w:rFonts w:eastAsia="Times New Roman"/>
          <w:sz w:val="21"/>
          <w:szCs w:val="21"/>
          <w:lang w:val="en-US"/>
        </w:rPr>
      </w:r>
    </w:p>
    <w:p>
      <w:pPr>
        <w:pStyle w:val="Normal"/>
        <w:rPr>
          <w:sz w:val="21"/>
          <w:szCs w:val="21"/>
        </w:rPr>
      </w:pPr>
      <w:r>
        <w:rPr>
          <w:rFonts w:eastAsia="Times New Roman"/>
          <w:sz w:val="21"/>
          <w:szCs w:val="21"/>
        </w:rPr>
        <w:t>Снижение</w:t>
      </w:r>
      <w:r>
        <w:rPr>
          <w:rFonts w:eastAsia="Times New Roman"/>
          <w:sz w:val="21"/>
          <w:szCs w:val="21"/>
          <w:lang w:val="en-US"/>
        </w:rPr>
        <w:t xml:space="preserve"> </w:t>
      </w:r>
      <w:r>
        <w:rPr>
          <w:rFonts w:eastAsia="Times New Roman"/>
          <w:sz w:val="21"/>
          <w:szCs w:val="21"/>
        </w:rPr>
        <w:t>НМЦК</w:t>
      </w:r>
      <w:r>
        <w:rPr>
          <w:rFonts w:eastAsia="Times New Roman"/>
          <w:sz w:val="21"/>
          <w:szCs w:val="21"/>
          <w:lang w:val="en-US"/>
        </w:rPr>
        <w:t>, %: 45.00</w:t>
      </w:r>
    </w:p>
    <w:p>
      <w:pPr>
        <w:pStyle w:val="Normal"/>
        <w:rPr>
          <w:rFonts w:eastAsia="Times New Roman"/>
          <w:sz w:val="21"/>
          <w:szCs w:val="21"/>
        </w:rPr>
      </w:pPr>
      <w:r>
        <w:rPr>
          <w:rFonts w:eastAsia="Times New Roman"/>
          <w:sz w:val="21"/>
          <w:szCs w:val="21"/>
        </w:rPr>
      </w:r>
    </w:p>
    <w:p>
      <w:pPr>
        <w:pStyle w:val="Normal"/>
        <w:rPr>
          <w:sz w:val="21"/>
          <w:szCs w:val="21"/>
        </w:rPr>
      </w:pPr>
      <w:r>
        <w:rPr>
          <w:rFonts w:eastAsia="Times New Roman"/>
          <w:sz w:val="21"/>
          <w:szCs w:val="21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lang w:val="en-US" w:eastAsia="ru-RU" w:bidi="ar-SA"/>
              </w:rPr>
              <w:t>Безродный Геннадий Владимирович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lang w:val="en-US" w:eastAsia="ru-RU" w:bidi="ar-SA"/>
              </w:rPr>
              <w:t>Бессмертнова Ирина Сергеевна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lang w:val="en-US" w:eastAsia="ru-RU" w:bidi="ar-SA"/>
              </w:rPr>
              <w:t>Федоркова Екатерина Сергеевна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lang w:val="en-US" w:eastAsia="ru-RU" w:bidi="ar-SA"/>
              </w:rPr>
              <w:t>Денисова Ольга Валерьевна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lang w:val="en-US" w:eastAsia="ru-RU" w:bidi="ar-SA"/>
              </w:rPr>
              <w:t>Станоевич Углеша Спасоевич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lang w:val="en-US" w:eastAsia="ru-RU" w:bidi="ar-SA"/>
              </w:rPr>
              <w:t>Варванин Дмитрий Дмитриевич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1"/>
          <w:szCs w:val="21"/>
        </w:rPr>
      </w:pPr>
      <w:r>
        <w:rPr>
          <w:rFonts w:eastAsia="Times New Roman"/>
          <w:sz w:val="21"/>
          <w:szCs w:val="21"/>
        </w:rPr>
      </w:r>
    </w:p>
    <w:p>
      <w:pPr>
        <w:pStyle w:val="Normal"/>
        <w:jc w:val="both"/>
        <w:rPr>
          <w:sz w:val="21"/>
          <w:szCs w:val="21"/>
        </w:rPr>
      </w:pPr>
      <w:r>
        <w:rPr>
          <w:rFonts w:eastAsia="Times New Roman"/>
          <w:sz w:val="21"/>
          <w:szCs w:val="21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1"/>
          <w:szCs w:val="21"/>
        </w:rPr>
      </w:pPr>
      <w:r>
        <w:rPr>
          <w:rFonts w:eastAsia="Times New Roman"/>
          <w:sz w:val="21"/>
          <w:szCs w:val="21"/>
        </w:rPr>
      </w:r>
    </w:p>
    <w:p>
      <w:pPr>
        <w:pStyle w:val="Normal"/>
        <w:rPr>
          <w:sz w:val="21"/>
          <w:szCs w:val="21"/>
        </w:rPr>
      </w:pPr>
      <w:r>
        <w:rPr>
          <w:rFonts w:eastAsia="Times New Roman"/>
          <w:sz w:val="21"/>
          <w:szCs w:val="21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1"/>
          <w:szCs w:val="21"/>
        </w:rPr>
      </w:pPr>
      <w:r>
        <w:rPr>
          <w:rFonts w:eastAsia="Times New Roman"/>
          <w:sz w:val="21"/>
          <w:szCs w:val="21"/>
        </w:rPr>
      </w:r>
    </w:p>
    <w:tbl>
      <w:tblPr>
        <w:tblW w:w="9977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8"/>
        <w:gridCol w:w="3419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Идентификационный номер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Наименование / ИНН участника аукциона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EA-112650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ОБЩЕСТВО С ОГРАНИЧЕННОЙ ОТВЕТСТВЕННОСТЬЮ "МЕДСНАБ" / 3662212115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35 970,00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EA-112667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ОБЩЕСТВО С ОГРАНИЧЕННОЙ ОТВЕТСТВЕННОСТЬЮ "ФАРМДИНАМИКА" / 7118502520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36 297,00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EA-112600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ОБЩЕСТВО С ОГРАНИЧЕННОЙ ОТВЕТСТВЕННОСТЬЮ "НОРД-ФАРМ" / 9718148546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40 221,00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EA-112604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ОБЩЕСТВО С ОГРАНИЧЕННОЙ ОТВЕТСТВЕННОСТЬЮ "ДРАГСЕРВИС" / 7751186263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45 453,00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EA-112691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ОБЩЕСТВО С ОГРАНИЧЕННОЙ ОТВЕТСТВЕННОСТЬЮ "ПМ-ФАРМА" / 7715656026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54 609,00 руб.</w:t>
            </w:r>
          </w:p>
        </w:tc>
      </w:tr>
    </w:tbl>
    <w:p>
      <w:pPr>
        <w:pStyle w:val="Normal"/>
        <w:rPr>
          <w:rFonts w:eastAsia="Times New Roman"/>
          <w:sz w:val="21"/>
          <w:szCs w:val="21"/>
        </w:rPr>
      </w:pPr>
      <w:r>
        <w:rPr>
          <w:rFonts w:eastAsia="Times New Roman"/>
          <w:sz w:val="21"/>
          <w:szCs w:val="21"/>
        </w:rPr>
      </w:r>
    </w:p>
    <w:p>
      <w:pPr>
        <w:pStyle w:val="Normal"/>
        <w:rPr>
          <w:rFonts w:eastAsia="Times New Roman"/>
          <w:sz w:val="21"/>
          <w:szCs w:val="21"/>
        </w:rPr>
      </w:pPr>
      <w:r>
        <w:rPr>
          <w:rFonts w:eastAsia="Times New Roman"/>
          <w:sz w:val="21"/>
          <w:szCs w:val="21"/>
        </w:rPr>
      </w:r>
    </w:p>
    <w:tbl>
      <w:tblPr>
        <w:tblW w:w="9977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50"/>
        <w:gridCol w:w="1737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 xml:space="preserve">Идентификационный номер </w:t>
            </w:r>
            <w:r>
              <w:rPr>
                <w:rFonts w:eastAsia="Times New Roman"/>
                <w:sz w:val="21"/>
                <w:szCs w:val="21"/>
                <w:lang w:val="en-US"/>
              </w:rPr>
              <w:t xml:space="preserve">/ </w:t>
            </w:r>
            <w:r>
              <w:rPr>
                <w:rFonts w:eastAsia="Times New Roman"/>
                <w:sz w:val="21"/>
                <w:szCs w:val="21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Ф.И.О. члена аукционной комиссии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EA-112650</w:t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ОБЩЕСТВО С ОГРАНИЧЕННОЙ ОТВЕТСТВЕННОСТЬЮ "МЕДСНАБ"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Безродный Геннадий Владимирович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EA-112650</w:t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ОБЩЕСТВО С ОГРАНИЧЕННОЙ ОТВЕТСТВЕННОСТЬЮ "МЕДСНАБ"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Бессмертнова Ирина Сергеевна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EA-112650</w:t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ОБЩЕСТВО С ОГРАНИЧЕННОЙ ОТВЕТСТВЕННОСТЬЮ "МЕДСНАБ"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Федоркова Екатерина Сергеевна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EA-112650</w:t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ОБЩЕСТВО С ОГРАНИЧЕННОЙ ОТВЕТСТВЕННОСТЬЮ "МЕДСНАБ"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Денисова Ольга Валерьевна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EA-112650</w:t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ОБЩЕСТВО С ОГРАНИЧЕННОЙ ОТВЕТСТВЕННОСТЬЮ "МЕДСНАБ"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Станоевич Углеша Спасоевич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EA-112650</w:t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ОБЩЕСТВО С ОГРАНИЧЕННОЙ ОТВЕТСТВЕННОСТЬЮ "МЕДСНАБ"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Варванин Дмитрий Дмитриевич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EA-112667</w:t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ОБЩЕСТВО С ОГРАНИЧЕННОЙ ОТВЕТСТВЕННОСТЬЮ "ФАРМДИНАМИКА"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Безродный Геннадий Владимирович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EA-112667</w:t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ОБЩЕСТВО С ОГРАНИЧЕННОЙ ОТВЕТСТВЕННОСТЬЮ "ФАРМДИНАМИКА"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Бессмертнова Ирина Сергеевна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EA-112667</w:t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ОБЩЕСТВО С ОГРАНИЧЕННОЙ ОТВЕТСТВЕННОСТЬЮ "ФАРМДИНАМИКА"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Федоркова Екатерина Сергеевна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EA-112667</w:t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ОБЩЕСТВО С ОГРАНИЧЕННОЙ ОТВЕТСТВЕННОСТЬЮ "ФАРМДИНАМИКА"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Денисова Ольга Валерьевна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EA-112667</w:t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ОБЩЕСТВО С ОГРАНИЧЕННОЙ ОТВЕТСТВЕННОСТЬЮ "ФАРМДИНАМИКА"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Станоевич Углеша Спасоевич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EA-112667</w:t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ОБЩЕСТВО С ОГРАНИЧЕННОЙ ОТВЕТСТВЕННОСТЬЮ "ФАРМДИНАМИКА"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Варванин Дмитрий Дмитриевич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EA-112600</w:t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ОБЩЕСТВО С ОГРАНИЧЕННОЙ ОТВЕТСТВЕННОСТЬЮ "НОРД-ФАРМ"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Безродный Геннадий Владимирович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EA-112600</w:t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ОБЩЕСТВО С ОГРАНИЧЕННОЙ ОТВЕТСТВЕННОСТЬЮ "НОРД-ФАРМ"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Бессмертнова Ирина Сергеевна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EA-112600</w:t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ОБЩЕСТВО С ОГРАНИЧЕННОЙ ОТВЕТСТВЕННОСТЬЮ "НОРД-ФАРМ"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Федоркова Екатерина Сергеевна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EA-112600</w:t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ОБЩЕСТВО С ОГРАНИЧЕННОЙ ОТВЕТСТВЕННОСТЬЮ "НОРД-ФАРМ"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Денисова Ольга Валерьевна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EA-112600</w:t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ОБЩЕСТВО С ОГРАНИЧЕННОЙ ОТВЕТСТВЕННОСТЬЮ "НОРД-ФАРМ"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Станоевич Углеша Спасоевич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EA-112600</w:t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ОБЩЕСТВО С ОГРАНИЧЕННОЙ ОТВЕТСТВЕННОСТЬЮ "НОРД-ФАРМ"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Варванин Дмитрий Дмитриевич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EA-112604</w:t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ОБЩЕСТВО С ОГРАНИЧЕННОЙ ОТВЕТСТВЕННОСТЬЮ "ДРАГСЕРВИС"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t>п. 3 ч. 6 ст. 69 44-ФЗ - ограничение или запрет допуска иностранной продукциив соответствии с пунктом 3 части 6 статьи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признается не соответствующей требованиям, установленным частями 37, 38 аукционной документации, по основанию, предусмотренному нормативным правовым актом, принятым в соответствии со статьей 14 Федерального закона, а именно: постановлением Правительства Российской Федерации от 30.11.2015 № 1289 «Об ограничениях и условиях допуска происходящих из иностранных государств лекарственных препаратов, включенных в перечень жизненно необходимых и важнейших лекарственных препаратов, для целей осуществления закупок для обеспечения государственных и муниципальных нужд», в связи с тем, что указанная заявка содержит предложение о поставке лекарственных препаратов, происходящих из иностранных государств (за исключением государств - членов Евразийского экономического союза), в том числе о поставке 2 и более лекарственных препаратов, страной происхождения хотя бы одного из которых не является государство - член Евразийского экономического союза, при этом    на участие в определении поставщика подано не менее 2 заявок, которые удовлетворяют требованиям извещения об осуществлении закупки и (или) документации о закупке и которые одновременно: содержат предложения о поставке лекарственных препаратов, страной происхождения которых являются государства - члены Евразийского экономического союза; не содержат предложений о поставке лекарственных препаратов одного и того же производителя либо производителей, входящих в одну группу лиц, соответствующую признакам, предусмотренным статьей 9 Федерального закона «О защите конкуренци», при сопоставлении этих заявок.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Безродный Геннадий Владимирович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EA-112604</w:t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ОБЩЕСТВО С ОГРАНИЧЕННОЙ ОТВЕТСТВЕННОСТЬЮ "ДРАГСЕРВИС"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п. 3 ч. 6 ст. 69 44-ФЗ - ограничение или запрет допуска иностранной продукциив соответствии с пунктом 3 части 6 статьи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признается не соответствующей требованиям, установленным частями 37, 38 аукционной документации, по основанию, предусмотренному нормативным правовым актом, принятым в соответствии со статьей 14 Федерального закона, а именно: постановлением Правительства Российской Федерации от 30.11.2015 № 1289 «Об ограничениях и условиях допуска происходящих из иностранных государств лекарственных препаратов, включенных в перечень жизненно необходимых и важнейших лекарственных препаратов, для целей осуществления закупок для обеспечения государственных и муниципальных нужд», в связи с тем, что указанная заявка содержит предложение о поставке лекарственных препаратов, происходящих из иностранных государств (за исключением государств - членов Евразийского экономического союза), в том числе о поставке 2 и более лекарственных препаратов, страной происхождения хотя бы одного из которых не является государство - член Евразийского экономического союза, при этом    на участие в определении поставщика подано не менее 2 заявок, которые удовлетворяют требованиям извещения об осуществлении закупки и (или) документации о закупке и которые одновременно: содержат предложения о поставке лекарственных препаратов, страной происхождения которых являются государства - члены Евразийского экономического союза; не содержат предложений о поставке лекарственных препаратов одного и того же производителя либо производителей, входящих в одну группу лиц, соответствующую признакам, предусмотренным статьей 9 Федерального закона «О защите конкуренци», при сопоставлении этих заявок.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Бессмертнова Ирина Сергеевна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EA-112604</w:t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ОБЩЕСТВО С ОГРАНИЧЕННОЙ ОТВЕТСТВЕННОСТЬЮ "ДРАГСЕРВИС"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п. 3 ч. 6 ст. 69 44-ФЗ - ограничение или запрет допуска иностранной продукциив соответствии с пунктом 3 части 6 статьи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признается не соответствующей требованиям, установленным частями 37, 38 аукционной документации, по основанию, предусмотренному нормативным правовым актом, принятым в соответствии со статьей 14 Федерального закона, а именно: постановлением Правительства Российской Федерации от 30.11.2015 № 1289 «Об ограничениях и условиях допуска происходящих из иностранных государств лекарственных препаратов, включенных в перечень жизненно необходимых и важнейших лекарственных препаратов, для целей осуществления закупок для обеспечения государственных и муниципальных нужд», в связи с тем, что указанная заявка содержит предложение о поставке лекарственных препаратов, происходящих из иностранных государств (за исключением государств - членов Евразийского экономического союза), в том числе о поставке 2 и более лекарственных препаратов, страной происхождения хотя бы одного из которых не является государство - член Евразийского экономического союза, при этом    на участие в определении поставщика подано не менее 2 заявок, которые удовлетворяют требованиям извещения об осуществлении закупки и (или) документации о закупке и которые одновременно: содержат предложения о поставке лекарственных препаратов, страной происхождения которых являются государства - члены Евразийского экономического союза; не содержат предложений о поставке лекарственных препаратов одного и того же производителя либо производителей, входящих в одну группу лиц, соответствующую признакам, предусмотренным статьей 9 Федерального закона «О защите конкуренци», при сопоставлении этих заявок.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Федоркова Екатерина Сергеевна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EA-112604</w:t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ОБЩЕСТВО С ОГРАНИЧЕННОЙ ОТВЕТСТВЕННОСТЬЮ "ДРАГСЕРВИС"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п. 3 ч. 6 ст. 69 44-ФЗ - ограничение или запрет допуска иностранной продукциив соответствии с пунктом 3 части 6 статьи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признается не соответствующей требованиям, установленным частями 37, 38 аукционной документации, по основанию, предусмотренному нормативным правовым актом, принятым в соответствии со статьей 14 Федерального закона, а именно: постановлением Правительства Российской Федерации от 30.11.2015 № 1289 «Об ограничениях и условиях допуска происходящих из иностранных государств лекарственных препаратов, включенных в перечень жизненно необходимых и важнейших лекарственных препаратов, для целей осуществления закупок для обеспечения государственных и муниципальных нужд», в связи с тем, что указанная заявка содержит предложение о поставке лекарственных препаратов, происходящих из иностранных государств (за исключением государств - членов Евразийского экономического союза), в том числе о поставке 2 и более лекарственных препаратов, страной происхождения хотя бы одного из которых не является государство - член Евразийского экономического союза, при этом    на участие в определении поставщика подано не менее 2 заявок, которые удовлетворяют требованиям извещения об осуществлении закупки и (или) документации о закупке и которые одновременно: содержат предложения о поставке лекарственных препаратов, страной происхождения которых являются государства - члены Евразийского экономического союза; не содержат предложений о поставке лекарственных препаратов одного и того же производителя либо производителей, входящих в одну группу лиц, соответствующую признакам, предусмотренным статьей 9 Федерального закона «О защите конкуренци», при сопоставлении этих заявок.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Денисова Ольга Валерьевна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EA-112604</w:t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ОБЩЕСТВО С ОГРАНИЧЕННОЙ ОТВЕТСТВЕННОСТЬЮ "ДРАГСЕРВИС"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п. 3 ч. 6 ст. 69 44-ФЗ - ограничение или запрет допуска иностранной продукциив соответствии с пунктом 3 части 6 статьи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признается не соответствующей требованиям, установленным частями 37, 38 аукционной документации, по основанию, предусмотренному нормативным правовым актом, принятым в соответствии со статьей 14 Федерального закона, а именно: постановлением Правительства Российской Федерации от 30.11.2015 № 1289 «Об ограничениях и условиях допуска происходящих из иностранных государств лекарственных препаратов, включенных в перечень жизненно необходимых и важнейших лекарственных препаратов, для целей осуществления закупок для обеспечения государственных и муниципальных нужд», в связи с тем, что указанная заявка содержит предложение о поставке лекарственных препаратов, происходящих из иностранных государств (за исключением государств - членов Евразийского экономического союза), в том числе о поставке 2 и более лекарственных препаратов, страной происхождения хотя бы одного из которых не является государство - член Евразийского экономического союза, при этом    на участие в определении поставщика подано не менее 2 заявок, которые удовлетворяют требованиям извещения об осуществлении закупки и (или) документации о закупке и которые одновременно: содержат предложения о поставке лекарственных препаратов, страной происхождения которых являются государства - члены Евразийского экономического союза; не содержат предложений о поставке лекарственных препаратов одного и того же производителя либо производителей, входящих в одну группу лиц, соответствующую признакам, предусмотренным статьей 9 Федерального закона «О защите конкуренци», при сопоставлении этих заявок.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Станоевич Углеша Спасоевич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EA-112604</w:t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ОБЩЕСТВО С ОГРАНИЧЕННОЙ ОТВЕТСТВЕННОСТЬЮ "ДРАГСЕРВИС"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п. 3 ч. 6 ст. 69 44-ФЗ - ограничение или запрет допуска иностранной продукциив соответствии с пунктом 3 части 6 статьи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признается не соответствующей требованиям, установленным частями 37, 38 аукционной документации, по основанию, предусмотренному нормативным правовым актом, принятым в соответствии со статьей 14 Федерального закона, а именно: постановлением Правительства Российской Федерации от 30.11.2015 № 1289 «Об ограничениях и условиях допуска происходящих из иностранных государств лекарственных препаратов, включенных в перечень жизненно необходимых и важнейших лекарственных препаратов, для целей осуществления закупок для обеспечения государственных и муниципальных нужд», в связи с тем, что указанная заявка содержит предложение о поставке лекарственных препаратов, происходящих из иностранных государств (за исключением государств - членов Евразийского экономического союза), в том числе о поставке 2 и более лекарственных препаратов, страной происхождения хотя бы одного из которых не является государство - член Евразийского экономического союза, при этом    на участие в определении поставщика подано не менее 2 заявок, которые удовлетворяют требованиям извещения об осуществлении закупки и (или) документации о закупке и которые одновременно: содержат предложения о поставке лекарственных препаратов, страной происхождения которых являются государства - члены Евразийского экономического союза; не содержат предложений о поставке лекарственных препаратов одного и того же производителя либо производителей, входящих в одну группу лиц, соответствующую признакам, предусмотренным статьей 9 Федерального закона «О защите конкуренци», при сопоставлении этих заявок.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Варванин Дмитрий Дмитриевич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EA-112691</w:t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ОБЩЕСТВО С ОГРАНИЧЕННОЙ ОТВЕТСТВЕННОСТЬЮ "ПМ-ФАРМА"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Безродный Геннадий Владимирович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EA-112691</w:t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ОБЩЕСТВО С ОГРАНИЧЕННОЙ ОТВЕТСТВЕННОСТЬЮ "ПМ-ФАРМА"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Бессмертнова Ирина Сергеевна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EA-112691</w:t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ОБЩЕСТВО С ОГРАНИЧЕННОЙ ОТВЕТСТВЕННОСТЬЮ "ПМ-ФАРМА"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Федоркова Екатерина Сергеевна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EA-112691</w:t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ОБЩЕСТВО С ОГРАНИЧЕННОЙ ОТВЕТСТВЕННОСТЬЮ "ПМ-ФАРМА"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Денисова Ольга Валерьевна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EA-112691</w:t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ОБЩЕСТВО С ОГРАНИЧЕННОЙ ОТВЕТСТВЕННОСТЬЮ "ПМ-ФАРМА"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Станоевич Углеша Спасоевич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EA-112691</w:t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ОБЩЕСТВО С ОГРАНИЧЕННОЙ ОТВЕТСТВЕННОСТЬЮ "ПМ-ФАРМА"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Варванин Дмитрий Дмитриевич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1"/>
          <w:szCs w:val="21"/>
        </w:rPr>
      </w:pPr>
      <w:r>
        <w:rPr>
          <w:sz w:val="21"/>
          <w:szCs w:val="21"/>
        </w:rPr>
      </w:r>
    </w:p>
    <w:p>
      <w:pPr>
        <w:pStyle w:val="Normal"/>
        <w:rPr>
          <w:sz w:val="21"/>
          <w:szCs w:val="21"/>
        </w:rPr>
      </w:pPr>
      <w:r>
        <w:rPr>
          <w:rFonts w:eastAsia="Times New Roman" w:cs="Times New Roman"/>
          <w:b w:val="false"/>
          <w:sz w:val="21"/>
          <w:szCs w:val="21"/>
        </w:rPr>
        <w:t xml:space="preserve">В результате рассмотрения вторых частей заявок применен пп.1.4 п.1 Приказа Минфина России от 04.06.2018 № 126н. </w:t>
      </w:r>
    </w:p>
    <w:tbl>
      <w:tblPr>
        <w:tblW w:w="10225" w:type="dxa"/>
        <w:jc w:val="left"/>
        <w:tblInd w:w="-26" w:type="dxa"/>
        <w:tblCellMar>
          <w:top w:w="57" w:type="dxa"/>
          <w:left w:w="57" w:type="dxa"/>
          <w:bottom w:w="57" w:type="dxa"/>
          <w:right w:w="57" w:type="dxa"/>
        </w:tblCellMar>
      </w:tblPr>
      <w:tblGrid>
        <w:gridCol w:w="1282"/>
        <w:gridCol w:w="1492"/>
        <w:gridCol w:w="3462"/>
        <w:gridCol w:w="1987"/>
        <w:gridCol w:w="2002"/>
      </w:tblGrid>
      <w:tr>
        <w:trPr>
          <w:trHeight w:val="100" w:hRule="atLeast"/>
        </w:trPr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b/>
                <w:sz w:val="21"/>
                <w:szCs w:val="21"/>
              </w:rPr>
              <w:t>Номер по ранжированию</w:t>
            </w: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b/>
                <w:sz w:val="21"/>
                <w:szCs w:val="21"/>
              </w:rPr>
              <w:t>Идентификационный номер заявки</w:t>
            </w:r>
          </w:p>
        </w:tc>
        <w:tc>
          <w:tcPr>
            <w:tcW w:w="3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b/>
                <w:sz w:val="21"/>
                <w:szCs w:val="21"/>
              </w:rPr>
              <w:t>Наименование участника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b/>
                <w:sz w:val="21"/>
                <w:szCs w:val="21"/>
              </w:rPr>
              <w:t>ИНН</w:t>
            </w:r>
          </w:p>
        </w:tc>
        <w:tc>
          <w:tcPr>
            <w:tcW w:w="2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b/>
                <w:sz w:val="21"/>
                <w:szCs w:val="21"/>
              </w:rPr>
              <w:t>Предложение о цене контракта (RUB)</w:t>
            </w:r>
          </w:p>
        </w:tc>
      </w:tr>
      <w:tr>
        <w:trPr>
          <w:trHeight w:val="100" w:hRule="atLeast"/>
        </w:trPr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sz w:val="21"/>
                <w:szCs w:val="21"/>
              </w:rPr>
              <w:t>1</w:t>
            </w: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EA-112667</w:t>
            </w:r>
          </w:p>
        </w:tc>
        <w:tc>
          <w:tcPr>
            <w:tcW w:w="3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ОБЩЕСТВО С ОГРАНИЧЕННОЙ ОТВЕТСТВЕННОСТЬЮ "ФАРМДИНАМИКА"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7118502520</w:t>
            </w:r>
          </w:p>
        </w:tc>
        <w:tc>
          <w:tcPr>
            <w:tcW w:w="2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tabs>
                <w:tab w:val="clear" w:pos="709"/>
              </w:tabs>
              <w:jc w:val="center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sz w:val="21"/>
                <w:szCs w:val="21"/>
                <w:lang w:val="en-US"/>
              </w:rPr>
              <w:t>36 297,00 руб.</w:t>
            </w:r>
          </w:p>
        </w:tc>
      </w:tr>
      <w:tr>
        <w:trPr>
          <w:trHeight w:val="100" w:hRule="atLeast"/>
        </w:trPr>
        <w:tc>
          <w:tcPr>
            <w:tcW w:w="12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sz w:val="21"/>
                <w:szCs w:val="21"/>
              </w:rPr>
              <w:t>2</w:t>
            </w:r>
          </w:p>
        </w:tc>
        <w:tc>
          <w:tcPr>
            <w:tcW w:w="14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EA-112650</w:t>
            </w:r>
          </w:p>
        </w:tc>
        <w:tc>
          <w:tcPr>
            <w:tcW w:w="34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ОБЩЕСТВО С ОГРАНИЧЕННОЙ ОТВЕТСТВЕННОСТЬЮ "МЕДСНАБ"</w:t>
            </w:r>
          </w:p>
        </w:tc>
        <w:tc>
          <w:tcPr>
            <w:tcW w:w="19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3662212115</w:t>
            </w:r>
          </w:p>
        </w:tc>
        <w:tc>
          <w:tcPr>
            <w:tcW w:w="20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tabs>
                <w:tab w:val="clear" w:pos="709"/>
              </w:tabs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35 970,00 руб.</w:t>
            </w:r>
          </w:p>
        </w:tc>
      </w:tr>
      <w:tr>
        <w:trPr>
          <w:trHeight w:val="100" w:hRule="atLeast"/>
        </w:trPr>
        <w:tc>
          <w:tcPr>
            <w:tcW w:w="12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sz w:val="21"/>
                <w:szCs w:val="21"/>
              </w:rPr>
              <w:t>3</w:t>
            </w:r>
          </w:p>
        </w:tc>
        <w:tc>
          <w:tcPr>
            <w:tcW w:w="14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EA-112600</w:t>
            </w:r>
          </w:p>
        </w:tc>
        <w:tc>
          <w:tcPr>
            <w:tcW w:w="34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 xml:space="preserve">ОБЩЕСТВО С ОГРАНИЧЕННОЙ ОТВЕТСТВЕННОСТЬЮ "НОРД-ФАРМ" </w:t>
            </w:r>
          </w:p>
        </w:tc>
        <w:tc>
          <w:tcPr>
            <w:tcW w:w="19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9718148546</w:t>
            </w:r>
          </w:p>
        </w:tc>
        <w:tc>
          <w:tcPr>
            <w:tcW w:w="20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tabs>
                <w:tab w:val="clear" w:pos="709"/>
              </w:tabs>
              <w:jc w:val="center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sz w:val="21"/>
                <w:szCs w:val="21"/>
                <w:lang w:val="en-US"/>
              </w:rPr>
              <w:t>40 221,00 руб.</w:t>
            </w:r>
          </w:p>
        </w:tc>
      </w:tr>
      <w:tr>
        <w:trPr>
          <w:trHeight w:val="100" w:hRule="atLeast"/>
        </w:trPr>
        <w:tc>
          <w:tcPr>
            <w:tcW w:w="12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</w:t>
            </w:r>
          </w:p>
        </w:tc>
        <w:tc>
          <w:tcPr>
            <w:tcW w:w="14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EA-112691</w:t>
            </w:r>
          </w:p>
        </w:tc>
        <w:tc>
          <w:tcPr>
            <w:tcW w:w="34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ОБЩЕСТВО С ОГРАНИЧЕННОЙ ОТВЕТСТВЕННОСТЬЮ "ПМ-ФАРМА"</w:t>
            </w:r>
          </w:p>
        </w:tc>
        <w:tc>
          <w:tcPr>
            <w:tcW w:w="19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7715656026</w:t>
            </w:r>
          </w:p>
        </w:tc>
        <w:tc>
          <w:tcPr>
            <w:tcW w:w="20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tabs>
                <w:tab w:val="clear" w:pos="709"/>
              </w:tabs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54 609,00 руб.</w:t>
            </w:r>
          </w:p>
        </w:tc>
      </w:tr>
    </w:tbl>
    <w:p>
      <w:pPr>
        <w:pStyle w:val="Normal"/>
        <w:spacing w:lineRule="auto" w:line="240" w:before="0" w:after="0"/>
        <w:ind w:left="0" w:right="0" w:hanging="0"/>
        <w:jc w:val="both"/>
        <w:rPr>
          <w:rFonts w:eastAsia="Times New Roman"/>
          <w:sz w:val="21"/>
          <w:szCs w:val="21"/>
        </w:rPr>
      </w:pPr>
      <w:r>
        <w:rPr>
          <w:rFonts w:eastAsia="Times New Roman"/>
          <w:sz w:val="21"/>
          <w:szCs w:val="21"/>
        </w:rPr>
      </w:r>
    </w:p>
    <w:p>
      <w:pPr>
        <w:pStyle w:val="Normal"/>
        <w:jc w:val="both"/>
        <w:rPr>
          <w:sz w:val="21"/>
          <w:szCs w:val="21"/>
        </w:rPr>
      </w:pPr>
      <w:r>
        <w:rPr>
          <w:rFonts w:eastAsia="Times New Roman"/>
          <w:sz w:val="21"/>
          <w:szCs w:val="21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1"/>
          <w:szCs w:val="21"/>
        </w:rPr>
      </w:pPr>
      <w:r>
        <w:rPr>
          <w:rFonts w:eastAsia="Times New Roman"/>
          <w:b w:val="false"/>
          <w:sz w:val="21"/>
          <w:szCs w:val="21"/>
        </w:rPr>
        <w:t>Протокол составлен в одном экземпляре, который храниться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rPr>
          <w:sz w:val="21"/>
          <w:szCs w:val="21"/>
        </w:rPr>
      </w:pPr>
      <w:r>
        <w:rPr>
          <w:rFonts w:eastAsia="Times New Roman"/>
          <w:sz w:val="21"/>
          <w:szCs w:val="21"/>
        </w:rPr>
        <w:t>Подписи</w:t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1"/>
                <w:szCs w:val="21"/>
                <w:lang w:val="en-US"/>
              </w:rPr>
            </w:pPr>
            <w:r>
              <w:rPr>
                <w:sz w:val="21"/>
                <w:szCs w:val="21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Безродный Геннадий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1"/>
                <w:szCs w:val="21"/>
                <w:lang w:val="en-US"/>
              </w:rPr>
            </w:pPr>
            <w:r>
              <w:rPr>
                <w:sz w:val="21"/>
                <w:szCs w:val="21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Бессмертнова Ирина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1"/>
                <w:szCs w:val="21"/>
                <w:lang w:val="en-US"/>
              </w:rPr>
            </w:pPr>
            <w:r>
              <w:rPr>
                <w:sz w:val="21"/>
                <w:szCs w:val="21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Федоркова Екатерина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1"/>
                <w:szCs w:val="21"/>
                <w:lang w:val="en-US"/>
              </w:rPr>
            </w:pPr>
            <w:r>
              <w:rPr>
                <w:sz w:val="21"/>
                <w:szCs w:val="21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Денисова Ольга Валерьевна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1"/>
                <w:szCs w:val="21"/>
                <w:lang w:val="en-US"/>
              </w:rPr>
            </w:pPr>
            <w:r>
              <w:rPr>
                <w:sz w:val="21"/>
                <w:szCs w:val="21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Станоевич Углеша Спасоевич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1"/>
                <w:szCs w:val="21"/>
                <w:lang w:val="en-US"/>
              </w:rPr>
            </w:pPr>
            <w:r>
              <w:rPr>
                <w:sz w:val="21"/>
                <w:szCs w:val="21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Варванин Дмитрий Дмитриевич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autoHyphenation w:val="tru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paragraph" w:styleId="D1eee4e5f0e6e8eceee5f2e0e1ebe8f6fb">
    <w:name w:val="Сd1оeeдe4еe5рf0жe6иe8мecоeeеe5 тf2аe0бe1лebиe8цf6ыfb"/>
    <w:basedOn w:val="Normal"/>
    <w:qFormat/>
    <w:pPr/>
    <w:rPr>
      <w:lang w:eastAsia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Application>LibreOffice/6.4.5.2$Windows_x86 LibreOffice_project/a726b36747cf2001e06b58ad5db1aa3a9a1872d6</Application>
  <Pages>4</Pages>
  <Words>2224</Words>
  <Characters>16362</Characters>
  <CharactersWithSpaces>18345</CharactersWithSpaces>
  <Paragraphs>270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dc:description/>
  <dc:language>ru-RU</dc:language>
  <cp:lastModifiedBy/>
  <dcterms:modified xsi:type="dcterms:W3CDTF">2021-09-07T13:33:00Z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