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1"/>
          <w:szCs w:val="21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1"/>
          <w:szCs w:val="21"/>
          <w:u w:val="none"/>
          <w:em w:val="none"/>
          <w:lang w:val="ru-RU" w:eastAsia="ru-RU" w:bidi="ar-SA"/>
        </w:rPr>
        <w:t>ПРОТОКОЛ № 04-01/579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</w:t>
      </w:r>
      <w:r>
        <w:rPr>
          <w:rFonts w:eastAsia="Times New Roman"/>
          <w:b/>
          <w:bCs/>
          <w:sz w:val="20"/>
          <w:szCs w:val="20"/>
        </w:rPr>
        <w:t>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заправке, восстановлению картриджей и ремонту организационной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01.10</w:t>
      </w:r>
      <w:r>
        <w:rPr>
          <w:rFonts w:eastAsia="Times New Roman"/>
          <w:sz w:val="20"/>
          <w:szCs w:val="20"/>
          <w:lang w:val="en-US"/>
        </w:rPr>
        <w:t>.21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заправке, восстановлению картриджей и ремонту организационной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212463002376646320100100140029511244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299 827,53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Кушнир Александр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11 509,45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11 600,80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 / 4632165477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15 163,42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 / 5410080859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16 990,42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11 509,45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738</Words>
  <Characters>6044</Characters>
  <CharactersWithSpaces>6543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2021-10-01T11:34:32Z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