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firstLine="567"/>
        <w:jc w:val="center"/>
        <w:rPr>
          <w:sz w:val="20"/>
          <w:szCs w:val="20"/>
        </w:rPr>
      </w:pPr>
      <w:bookmarkStart w:id="0" w:name="_GoBack"/>
      <w:bookmarkEnd w:id="0"/>
      <w:r>
        <w:rPr>
          <w:rFonts w:eastAsia="Times New Roman"/>
          <w:b/>
          <w:bCs/>
          <w:sz w:val="20"/>
          <w:szCs w:val="20"/>
        </w:rPr>
        <w:t xml:space="preserve">Протокол  </w:t>
      </w:r>
      <w:r>
        <w:rPr>
          <w:rFonts w:eastAsia="Times New Roman"/>
          <w:b/>
          <w:bCs/>
          <w:sz w:val="20"/>
          <w:szCs w:val="20"/>
        </w:rPr>
        <w:t>№ 05-01/1031</w:t>
      </w:r>
    </w:p>
    <w:p>
      <w:pPr>
        <w:pStyle w:val="Normal"/>
        <w:ind w:firstLine="567"/>
        <w:jc w:val="center"/>
        <w:rPr>
          <w:sz w:val="20"/>
          <w:szCs w:val="20"/>
        </w:rPr>
      </w:pPr>
      <w:r>
        <w:rPr>
          <w:rFonts w:eastAsia="Times New Roman"/>
          <w:b/>
          <w:bCs/>
          <w:sz w:val="20"/>
          <w:szCs w:val="20"/>
        </w:rPr>
        <w:t>подведения итогов электронного аукциона</w:t>
      </w:r>
    </w:p>
    <w:p>
      <w:pPr>
        <w:pStyle w:val="Normal"/>
        <w:ind w:firstLine="567"/>
        <w:jc w:val="center"/>
        <w:rPr>
          <w:sz w:val="20"/>
          <w:szCs w:val="20"/>
        </w:rPr>
      </w:pPr>
      <w:r>
        <w:rPr>
          <w:rFonts w:eastAsia="Times New Roman"/>
          <w:b/>
          <w:bCs/>
          <w:sz w:val="20"/>
          <w:szCs w:val="20"/>
        </w:rPr>
        <w:t>"Поставка компьютерной техники"</w:t>
      </w:r>
    </w:p>
    <w:p>
      <w:pPr>
        <w:pStyle w:val="Normal"/>
        <w:ind w:firstLine="567"/>
        <w:jc w:val="center"/>
        <w:rPr>
          <w:rFonts w:eastAsia="Times New Roman"/>
          <w:b/>
          <w:b/>
          <w:bCs/>
          <w:lang w:val="en-US"/>
        </w:rPr>
      </w:pPr>
      <w:r>
        <w:rPr>
          <w:rFonts w:eastAsia="Times New Roman"/>
          <w:b/>
          <w:bCs/>
          <w:sz w:val="20"/>
          <w:szCs w:val="20"/>
          <w:lang w:val="en-US"/>
        </w:rPr>
        <w:t xml:space="preserve">(№ </w:t>
      </w:r>
      <w:r>
        <w:rPr>
          <w:rFonts w:eastAsia="Times New Roman"/>
          <w:b/>
          <w:bCs/>
          <w:sz w:val="20"/>
          <w:szCs w:val="20"/>
        </w:rPr>
        <w:t>извещения</w:t>
      </w:r>
      <w:r>
        <w:rPr>
          <w:rFonts w:eastAsia="Times New Roman"/>
          <w:b/>
          <w:bCs/>
          <w:sz w:val="20"/>
          <w:szCs w:val="20"/>
          <w:lang w:val="en-US"/>
        </w:rPr>
        <w:t xml:space="preserve"> 0744200000221006989) </w:t>
      </w:r>
    </w:p>
    <w:p>
      <w:pPr>
        <w:pStyle w:val="Normal"/>
        <w:ind w:firstLine="567"/>
        <w:jc w:val="center"/>
        <w:rPr>
          <w:sz w:val="20"/>
          <w:szCs w:val="20"/>
          <w:lang w:val="en-US"/>
        </w:rPr>
      </w:pPr>
      <w:r>
        <w:rPr>
          <w:sz w:val="20"/>
          <w:szCs w:val="20"/>
          <w:lang w:val="en-US"/>
        </w:rPr>
      </w:r>
    </w:p>
    <w:p>
      <w:pPr>
        <w:pStyle w:val="Normal"/>
        <w:ind w:firstLine="567"/>
        <w:jc w:val="right"/>
        <w:rPr>
          <w:lang w:val="en-US"/>
        </w:rPr>
      </w:pPr>
      <w:r>
        <w:rPr>
          <w:rFonts w:eastAsia="Times New Roman"/>
          <w:sz w:val="20"/>
          <w:szCs w:val="20"/>
          <w:lang w:val="en-US"/>
        </w:rPr>
        <w:t xml:space="preserve">14.10.2021 </w:t>
      </w:r>
      <w:r>
        <w:rPr>
          <w:rFonts w:eastAsia="Times New Roman"/>
          <w:sz w:val="20"/>
          <w:szCs w:val="20"/>
          <w:lang w:val="ru-RU"/>
        </w:rPr>
        <w:t>г.</w:t>
      </w:r>
    </w:p>
    <w:p>
      <w:pPr>
        <w:pStyle w:val="Normal"/>
        <w:ind w:firstLine="567"/>
        <w:rPr>
          <w:rFonts w:eastAsia="Times New Roman"/>
          <w:sz w:val="20"/>
          <w:szCs w:val="20"/>
          <w:lang w:val="en-US"/>
        </w:rPr>
      </w:pPr>
      <w:r>
        <w:rPr>
          <w:rFonts w:eastAsia="Times New Roman"/>
          <w:sz w:val="20"/>
          <w:szCs w:val="20"/>
          <w:lang w:val="en-US"/>
        </w:rPr>
      </w:r>
    </w:p>
    <w:p>
      <w:pPr>
        <w:pStyle w:val="Normal"/>
        <w:rPr>
          <w:lang w:val="en-US"/>
        </w:rPr>
      </w:pPr>
      <w:r>
        <w:rPr>
          <w:rFonts w:eastAsia="Times New Roman"/>
          <w:sz w:val="20"/>
          <w:szCs w:val="20"/>
        </w:rPr>
        <w:t>Место</w:t>
      </w:r>
      <w:r>
        <w:rPr>
          <w:rFonts w:eastAsia="Times New Roman"/>
          <w:sz w:val="20"/>
          <w:szCs w:val="20"/>
          <w:lang w:val="en-US"/>
        </w:rPr>
        <w:t xml:space="preserve"> </w:t>
      </w:r>
      <w:r>
        <w:rPr>
          <w:rFonts w:eastAsia="Times New Roman"/>
          <w:sz w:val="20"/>
          <w:szCs w:val="20"/>
        </w:rPr>
        <w:t>публикации</w:t>
      </w:r>
      <w:r>
        <w:rPr>
          <w:rFonts w:eastAsia="Times New Roman"/>
          <w:sz w:val="20"/>
          <w:szCs w:val="20"/>
          <w:lang w:val="en-US"/>
        </w:rPr>
        <w:t>: Российская Федерация, 305029, Курская обл, Курск г, Красный Октябрь, д.21, ОФИС 3</w:t>
      </w:r>
    </w:p>
    <w:p>
      <w:pPr>
        <w:pStyle w:val="Normal"/>
        <w:rPr>
          <w:rFonts w:eastAsia="Times New Roman"/>
          <w:sz w:val="20"/>
          <w:szCs w:val="20"/>
          <w:lang w:val="en-US"/>
        </w:rPr>
      </w:pPr>
      <w:r>
        <w:rPr>
          <w:rFonts w:eastAsia="Times New Roman"/>
          <w:sz w:val="20"/>
          <w:szCs w:val="20"/>
          <w:lang w:val="en-US"/>
        </w:rPr>
      </w:r>
    </w:p>
    <w:p>
      <w:pPr>
        <w:pStyle w:val="Normal"/>
        <w:rPr>
          <w:lang w:val="en-US"/>
        </w:rPr>
      </w:pPr>
      <w:r>
        <w:rPr>
          <w:rFonts w:eastAsia="Times New Roman"/>
          <w:sz w:val="20"/>
          <w:szCs w:val="20"/>
        </w:rPr>
        <w:t>Организатор</w:t>
      </w:r>
      <w:r>
        <w:rPr>
          <w:rFonts w:eastAsia="Times New Roman"/>
          <w:sz w:val="20"/>
          <w:szCs w:val="20"/>
          <w:lang w:val="en-US"/>
        </w:rPr>
        <w:t xml:space="preserve"> </w:t>
      </w:r>
      <w:r>
        <w:rPr>
          <w:rFonts w:eastAsia="Times New Roman"/>
          <w:sz w:val="20"/>
          <w:szCs w:val="20"/>
        </w:rPr>
        <w:t>аукциона</w:t>
      </w:r>
      <w:r>
        <w:rPr>
          <w:rFonts w:eastAsia="Times New Roman"/>
          <w:sz w:val="20"/>
          <w:szCs w:val="20"/>
          <w:lang w:val="en-US"/>
        </w:rPr>
        <w:t>: ОБЛАСТНОЕ КАЗЕННОЕ УЧРЕЖДЕНИЕ "ЦЕНТР ЗАКУПОК КУРСКОЙ ОБЛАСТИ"</w:t>
      </w:r>
    </w:p>
    <w:p>
      <w:pPr>
        <w:pStyle w:val="Normal"/>
        <w:rPr>
          <w:rFonts w:eastAsia="Times New Roman"/>
          <w:sz w:val="20"/>
          <w:szCs w:val="20"/>
          <w:lang w:val="en-US"/>
        </w:rPr>
      </w:pPr>
      <w:r>
        <w:rPr>
          <w:rFonts w:eastAsia="Times New Roman"/>
          <w:sz w:val="20"/>
          <w:szCs w:val="20"/>
          <w:lang w:val="en-US"/>
        </w:rPr>
      </w:r>
    </w:p>
    <w:p>
      <w:pPr>
        <w:pStyle w:val="Normal"/>
        <w:rPr>
          <w:lang w:val="en-US"/>
        </w:rPr>
      </w:pPr>
      <w:r>
        <w:rPr>
          <w:rFonts w:eastAsia="Times New Roman"/>
          <w:sz w:val="20"/>
          <w:szCs w:val="20"/>
          <w:lang w:val="en-US"/>
        </w:rPr>
        <w:t>Заказчик: ОБЛАСТНОЕ БЮДЖЕТНОЕ ПРОФЕССИОНАЛЬНОЕ ОБРАЗОВАТЕЛЬНОЕ УЧРЕЖДЕНИЕ "КУРСКИЙ ГОСУДАРСТВЕННЫЙ ПОЛИТЕХНИЧЕСКИЙ КОЛЛЕДЖ"</w:t>
      </w:r>
    </w:p>
    <w:p>
      <w:pPr>
        <w:pStyle w:val="Normal"/>
        <w:rPr>
          <w:rFonts w:eastAsia="Times New Roman"/>
          <w:sz w:val="20"/>
          <w:szCs w:val="20"/>
          <w:lang w:val="en-US"/>
        </w:rPr>
      </w:pPr>
      <w:r>
        <w:rPr>
          <w:rFonts w:eastAsia="Times New Roman"/>
          <w:sz w:val="20"/>
          <w:szCs w:val="20"/>
          <w:lang w:val="en-US"/>
        </w:rPr>
      </w:r>
    </w:p>
    <w:p>
      <w:pPr>
        <w:pStyle w:val="Normal"/>
        <w:rPr>
          <w:sz w:val="20"/>
          <w:szCs w:val="20"/>
          <w:lang w:val="en-US"/>
        </w:rPr>
      </w:pPr>
      <w:r>
        <w:rPr>
          <w:rFonts w:eastAsia="Times New Roman"/>
          <w:sz w:val="20"/>
          <w:szCs w:val="20"/>
        </w:rPr>
        <w:t>Наименование</w:t>
      </w:r>
      <w:r>
        <w:rPr>
          <w:rFonts w:eastAsia="Times New Roman"/>
          <w:sz w:val="20"/>
          <w:szCs w:val="20"/>
          <w:lang w:val="en-US"/>
        </w:rPr>
        <w:t xml:space="preserve"> </w:t>
      </w:r>
      <w:r>
        <w:rPr>
          <w:rFonts w:eastAsia="Times New Roman"/>
          <w:sz w:val="20"/>
          <w:szCs w:val="20"/>
        </w:rPr>
        <w:t>закупки</w:t>
      </w:r>
      <w:r>
        <w:rPr>
          <w:rFonts w:eastAsia="Times New Roman"/>
          <w:sz w:val="20"/>
          <w:szCs w:val="20"/>
          <w:lang w:val="en-US"/>
        </w:rPr>
        <w:t xml:space="preserve">: Поставка компьютерной техники </w:t>
      </w:r>
    </w:p>
    <w:p>
      <w:pPr>
        <w:pStyle w:val="Normal"/>
        <w:rPr>
          <w:rFonts w:eastAsia="Times New Roman"/>
          <w:sz w:val="20"/>
          <w:szCs w:val="20"/>
          <w:lang w:val="en-US"/>
        </w:rPr>
      </w:pPr>
      <w:r>
        <w:rPr>
          <w:rFonts w:eastAsia="Times New Roman"/>
          <w:sz w:val="20"/>
          <w:szCs w:val="20"/>
          <w:lang w:val="en-US"/>
        </w:rPr>
      </w:r>
    </w:p>
    <w:p>
      <w:pPr>
        <w:pStyle w:val="Normal"/>
        <w:rPr>
          <w:rFonts w:eastAsia="Times New Roman"/>
          <w:sz w:val="20"/>
          <w:szCs w:val="20"/>
        </w:rPr>
      </w:pPr>
      <w:r>
        <w:rPr>
          <w:rFonts w:eastAsia="Times New Roman"/>
          <w:sz w:val="20"/>
          <w:szCs w:val="20"/>
        </w:rPr>
        <w:t>Идентификационный код закупки: 212463201788846320100100280012620244</w:t>
      </w:r>
    </w:p>
    <w:p>
      <w:pPr>
        <w:pStyle w:val="Normal"/>
        <w:rPr/>
      </w:pPr>
      <w:r>
        <w:rPr/>
      </w:r>
    </w:p>
    <w:p>
      <w:pPr>
        <w:pStyle w:val="Normal"/>
        <w:rPr/>
      </w:pPr>
      <w:r>
        <w:rPr>
          <w:rFonts w:eastAsia="Times New Roman"/>
          <w:sz w:val="20"/>
          <w:szCs w:val="20"/>
        </w:rPr>
        <w:t>Начальная (максимальная) цена контракта: 931 953,00 руб.</w:t>
      </w:r>
    </w:p>
    <w:p>
      <w:pPr>
        <w:pStyle w:val="Normal"/>
        <w:rPr>
          <w:rFonts w:eastAsia="Times New Roman"/>
          <w:sz w:val="20"/>
          <w:szCs w:val="20"/>
          <w:lang w:val="en-US"/>
        </w:rPr>
      </w:pPr>
      <w:r>
        <w:rPr>
          <w:rFonts w:eastAsia="Times New Roman"/>
          <w:sz w:val="20"/>
          <w:szCs w:val="20"/>
          <w:lang w:val="en-US"/>
        </w:rPr>
      </w:r>
    </w:p>
    <w:p>
      <w:pPr>
        <w:pStyle w:val="Normal"/>
        <w:rPr/>
      </w:pPr>
      <w:r>
        <w:rPr>
          <w:rFonts w:eastAsia="Times New Roman"/>
          <w:sz w:val="20"/>
          <w:szCs w:val="20"/>
        </w:rPr>
        <w:t>Снижение</w:t>
      </w:r>
      <w:r>
        <w:rPr>
          <w:rFonts w:eastAsia="Times New Roman"/>
          <w:sz w:val="20"/>
          <w:szCs w:val="20"/>
          <w:lang w:val="en-US"/>
        </w:rPr>
        <w:t xml:space="preserve"> </w:t>
      </w:r>
      <w:r>
        <w:rPr>
          <w:rFonts w:eastAsia="Times New Roman"/>
          <w:sz w:val="20"/>
          <w:szCs w:val="20"/>
        </w:rPr>
        <w:t>НМЦК</w:t>
      </w:r>
      <w:r>
        <w:rPr>
          <w:rFonts w:eastAsia="Times New Roman"/>
          <w:sz w:val="20"/>
          <w:szCs w:val="20"/>
          <w:lang w:val="en-US"/>
        </w:rPr>
        <w:t>, %: 5.51</w:t>
      </w:r>
    </w:p>
    <w:p>
      <w:pPr>
        <w:pStyle w:val="Normal"/>
        <w:rPr>
          <w:rFonts w:eastAsia="Times New Roman"/>
          <w:sz w:val="20"/>
          <w:szCs w:val="20"/>
        </w:rPr>
      </w:pPr>
      <w:r>
        <w:rPr>
          <w:rFonts w:eastAsia="Times New Roman"/>
          <w:sz w:val="20"/>
          <w:szCs w:val="20"/>
        </w:rPr>
      </w:r>
    </w:p>
    <w:p>
      <w:pPr>
        <w:pStyle w:val="Normal"/>
        <w:rPr/>
      </w:pPr>
      <w:r>
        <w:rPr>
          <w:rFonts w:eastAsia="Times New Roman"/>
          <w:sz w:val="20"/>
          <w:szCs w:val="20"/>
        </w:rPr>
        <w:t>Состав аукционной комиссии:</w:t>
      </w:r>
    </w:p>
    <w:tbl>
      <w:tblPr>
        <w:tblW w:w="9927" w:type="dxa"/>
        <w:jc w:val="left"/>
        <w:tblInd w:w="-14" w:type="dxa"/>
        <w:tblLayout w:type="fixed"/>
        <w:tblCellMar>
          <w:top w:w="15" w:type="dxa"/>
          <w:left w:w="15" w:type="dxa"/>
          <w:bottom w:w="15" w:type="dxa"/>
          <w:right w:w="15" w:type="dxa"/>
        </w:tblCellMar>
        <w:tblLook w:firstRow="1" w:noVBand="1" w:lastRow="0" w:firstColumn="1" w:lastColumn="0" w:noHBand="0" w:val="04a0"/>
      </w:tblPr>
      <w:tblGrid>
        <w:gridCol w:w="3399"/>
        <w:gridCol w:w="3400"/>
        <w:gridCol w:w="3128"/>
      </w:tblGrid>
      <w:tr>
        <w:trPr/>
        <w:tc>
          <w:tcPr>
            <w:tcW w:w="3399" w:type="dxa"/>
            <w:tcBorders/>
            <w:shd w:fill="auto" w:val="clear"/>
          </w:tcPr>
          <w:p>
            <w:pPr>
              <w:pStyle w:val="Normal"/>
              <w:widowControl w:val="false"/>
              <w:rPr/>
            </w:pPr>
            <w:r>
              <w:rPr>
                <w:sz w:val="20"/>
                <w:szCs w:val="20"/>
                <w:lang w:val="en-US"/>
              </w:rPr>
              <w:t>Председатель комиссии</w:t>
            </w:r>
          </w:p>
        </w:tc>
        <w:tc>
          <w:tcPr>
            <w:tcW w:w="3400" w:type="dxa"/>
            <w:tcBorders/>
            <w:shd w:fill="auto" w:val="clear"/>
          </w:tcPr>
          <w:p>
            <w:pPr>
              <w:pStyle w:val="Normal"/>
              <w:widowControl w:val="false"/>
              <w:rPr/>
            </w:pPr>
            <w:r>
              <w:rPr>
                <w:rFonts w:eastAsia="" w:cs="Times New Roman" w:eastAsiaTheme="minorEastAsia"/>
                <w:color w:val="00000A"/>
                <w:sz w:val="20"/>
                <w:szCs w:val="20"/>
                <w:lang w:val="en-US" w:eastAsia="ru-RU" w:bidi="ar-SA"/>
              </w:rPr>
              <w:t>Мухина Елена Юрьевна</w:t>
            </w:r>
          </w:p>
        </w:tc>
        <w:tc>
          <w:tcPr>
            <w:tcW w:w="3128" w:type="dxa"/>
            <w:tcBorders/>
            <w:shd w:fill="auto" w:val="clear"/>
          </w:tcPr>
          <w:p>
            <w:pPr>
              <w:pStyle w:val="Normal"/>
              <w:widowControl w:val="false"/>
              <w:rPr/>
            </w:pPr>
            <w:r>
              <w:rPr>
                <w:rFonts w:eastAsia="" w:cs="Times New Roman" w:eastAsiaTheme="minorEastAsia"/>
                <w:color w:val="00000A"/>
                <w:sz w:val="20"/>
                <w:szCs w:val="20"/>
                <w:lang w:val="en-US" w:eastAsia="ru-RU" w:bidi="ar-SA"/>
              </w:rPr>
              <w:t>Присутствует</w:t>
            </w:r>
          </w:p>
        </w:tc>
      </w:tr>
      <w:tr>
        <w:trPr/>
        <w:tc>
          <w:tcPr>
            <w:tcW w:w="3399" w:type="dxa"/>
            <w:tcBorders/>
            <w:shd w:fill="auto" w:val="clear"/>
          </w:tcPr>
          <w:p>
            <w:pPr>
              <w:pStyle w:val="Normal"/>
              <w:widowControl w:val="false"/>
              <w:rPr/>
            </w:pPr>
            <w:r>
              <w:rPr>
                <w:sz w:val="20"/>
                <w:szCs w:val="20"/>
                <w:lang w:val="en-US"/>
              </w:rPr>
              <w:t>Зам. председателя комиссии</w:t>
            </w:r>
          </w:p>
        </w:tc>
        <w:tc>
          <w:tcPr>
            <w:tcW w:w="3400" w:type="dxa"/>
            <w:tcBorders/>
            <w:shd w:fill="auto" w:val="clear"/>
          </w:tcPr>
          <w:p>
            <w:pPr>
              <w:pStyle w:val="Normal"/>
              <w:widowControl w:val="false"/>
              <w:rPr/>
            </w:pPr>
            <w:r>
              <w:rPr>
                <w:rFonts w:eastAsia="" w:cs="Times New Roman" w:eastAsiaTheme="minorEastAsia"/>
                <w:color w:val="00000A"/>
                <w:sz w:val="20"/>
                <w:szCs w:val="20"/>
                <w:lang w:val="en-US" w:eastAsia="ru-RU" w:bidi="ar-SA"/>
              </w:rPr>
              <w:t>Гринев Денис Юрьевич</w:t>
            </w:r>
          </w:p>
        </w:tc>
        <w:tc>
          <w:tcPr>
            <w:tcW w:w="3128" w:type="dxa"/>
            <w:tcBorders/>
            <w:shd w:fill="auto" w:val="clear"/>
          </w:tcPr>
          <w:p>
            <w:pPr>
              <w:pStyle w:val="Normal"/>
              <w:widowControl w:val="false"/>
              <w:rPr/>
            </w:pPr>
            <w:r>
              <w:rPr>
                <w:rFonts w:eastAsia="" w:cs="Times New Roman" w:eastAsiaTheme="minorEastAsia"/>
                <w:color w:val="00000A"/>
                <w:sz w:val="20"/>
                <w:szCs w:val="20"/>
                <w:lang w:val="en-US" w:eastAsia="ru-RU" w:bidi="ar-SA"/>
              </w:rPr>
              <w:t>Присутствует</w:t>
            </w:r>
          </w:p>
        </w:tc>
      </w:tr>
      <w:tr>
        <w:trPr/>
        <w:tc>
          <w:tcPr>
            <w:tcW w:w="3399" w:type="dxa"/>
            <w:tcBorders/>
            <w:shd w:fill="auto" w:val="clear"/>
          </w:tcPr>
          <w:p>
            <w:pPr>
              <w:pStyle w:val="Normal"/>
              <w:widowControl w:val="false"/>
              <w:rPr/>
            </w:pPr>
            <w:r>
              <w:rPr>
                <w:sz w:val="20"/>
                <w:szCs w:val="20"/>
                <w:lang w:val="en-US"/>
              </w:rPr>
              <w:t>Член комиссии</w:t>
            </w:r>
          </w:p>
        </w:tc>
        <w:tc>
          <w:tcPr>
            <w:tcW w:w="3400" w:type="dxa"/>
            <w:tcBorders/>
            <w:shd w:fill="auto" w:val="clear"/>
          </w:tcPr>
          <w:p>
            <w:pPr>
              <w:pStyle w:val="Normal"/>
              <w:widowControl w:val="false"/>
              <w:rPr/>
            </w:pPr>
            <w:r>
              <w:rPr>
                <w:rFonts w:eastAsia="" w:cs="Times New Roman" w:eastAsiaTheme="minorEastAsia"/>
                <w:color w:val="00000A"/>
                <w:sz w:val="20"/>
                <w:szCs w:val="20"/>
                <w:lang w:val="en-US" w:eastAsia="ru-RU" w:bidi="ar-SA"/>
              </w:rPr>
              <w:t>Лазарева Анастасия Александровна</w:t>
            </w:r>
          </w:p>
        </w:tc>
        <w:tc>
          <w:tcPr>
            <w:tcW w:w="3128" w:type="dxa"/>
            <w:tcBorders/>
            <w:shd w:fill="auto" w:val="clear"/>
          </w:tcPr>
          <w:p>
            <w:pPr>
              <w:pStyle w:val="Normal"/>
              <w:widowControl w:val="false"/>
              <w:rPr/>
            </w:pPr>
            <w:r>
              <w:rPr>
                <w:rFonts w:eastAsia="" w:cs="Times New Roman" w:eastAsiaTheme="minorEastAsia"/>
                <w:color w:val="00000A"/>
                <w:sz w:val="20"/>
                <w:szCs w:val="20"/>
                <w:lang w:val="en-US" w:eastAsia="ru-RU" w:bidi="ar-SA"/>
              </w:rPr>
              <w:t>Присутствует</w:t>
            </w:r>
          </w:p>
        </w:tc>
      </w:tr>
      <w:tr>
        <w:trPr/>
        <w:tc>
          <w:tcPr>
            <w:tcW w:w="3399" w:type="dxa"/>
            <w:tcBorders/>
            <w:shd w:fill="auto" w:val="clear"/>
          </w:tcPr>
          <w:p>
            <w:pPr>
              <w:pStyle w:val="Normal"/>
              <w:widowControl w:val="false"/>
              <w:rPr/>
            </w:pPr>
            <w:r>
              <w:rPr>
                <w:sz w:val="20"/>
                <w:szCs w:val="20"/>
                <w:lang w:val="en-US"/>
              </w:rPr>
              <w:t>Член комиссии</w:t>
            </w:r>
          </w:p>
        </w:tc>
        <w:tc>
          <w:tcPr>
            <w:tcW w:w="3400" w:type="dxa"/>
            <w:tcBorders/>
            <w:shd w:fill="auto" w:val="clear"/>
          </w:tcPr>
          <w:p>
            <w:pPr>
              <w:pStyle w:val="Normal"/>
              <w:widowControl w:val="false"/>
              <w:rPr/>
            </w:pPr>
            <w:r>
              <w:rPr>
                <w:rFonts w:eastAsia="" w:cs="Times New Roman" w:eastAsiaTheme="minorEastAsia"/>
                <w:color w:val="00000A"/>
                <w:sz w:val="20"/>
                <w:szCs w:val="20"/>
                <w:lang w:val="en-US" w:eastAsia="ru-RU" w:bidi="ar-SA"/>
              </w:rPr>
              <w:t>Славкова Ирина Николаевна</w:t>
            </w:r>
          </w:p>
        </w:tc>
        <w:tc>
          <w:tcPr>
            <w:tcW w:w="3128" w:type="dxa"/>
            <w:tcBorders/>
            <w:shd w:fill="auto" w:val="clear"/>
          </w:tcPr>
          <w:p>
            <w:pPr>
              <w:pStyle w:val="Normal"/>
              <w:widowControl w:val="false"/>
              <w:rPr/>
            </w:pPr>
            <w:r>
              <w:rPr>
                <w:rFonts w:eastAsia="" w:cs="Times New Roman" w:eastAsiaTheme="minorEastAsia"/>
                <w:color w:val="00000A"/>
                <w:sz w:val="20"/>
                <w:szCs w:val="20"/>
                <w:lang w:val="en-US" w:eastAsia="ru-RU" w:bidi="ar-SA"/>
              </w:rPr>
              <w:t>Присутствует</w:t>
            </w:r>
          </w:p>
        </w:tc>
      </w:tr>
      <w:tr>
        <w:trPr/>
        <w:tc>
          <w:tcPr>
            <w:tcW w:w="3399" w:type="dxa"/>
            <w:tcBorders/>
            <w:shd w:fill="auto" w:val="clear"/>
          </w:tcPr>
          <w:p>
            <w:pPr>
              <w:pStyle w:val="Normal"/>
              <w:widowControl w:val="false"/>
              <w:rPr/>
            </w:pPr>
            <w:r>
              <w:rPr>
                <w:sz w:val="20"/>
                <w:szCs w:val="20"/>
                <w:lang w:val="en-US"/>
              </w:rPr>
              <w:t>Секретарь комиссии</w:t>
            </w:r>
          </w:p>
        </w:tc>
        <w:tc>
          <w:tcPr>
            <w:tcW w:w="3400" w:type="dxa"/>
            <w:tcBorders/>
            <w:shd w:fill="auto" w:val="clear"/>
          </w:tcPr>
          <w:p>
            <w:pPr>
              <w:pStyle w:val="Normal"/>
              <w:widowControl w:val="false"/>
              <w:rPr/>
            </w:pPr>
            <w:r>
              <w:rPr>
                <w:rFonts w:eastAsia="" w:cs="Times New Roman" w:eastAsiaTheme="minorEastAsia"/>
                <w:color w:val="00000A"/>
                <w:sz w:val="20"/>
                <w:szCs w:val="20"/>
                <w:lang w:val="en-US" w:eastAsia="ru-RU" w:bidi="ar-SA"/>
              </w:rPr>
              <w:t>Лыков Виталий Игоревич</w:t>
            </w:r>
          </w:p>
        </w:tc>
        <w:tc>
          <w:tcPr>
            <w:tcW w:w="3128" w:type="dxa"/>
            <w:tcBorders/>
            <w:shd w:fill="auto" w:val="clear"/>
          </w:tcPr>
          <w:p>
            <w:pPr>
              <w:pStyle w:val="Normal"/>
              <w:widowControl w:val="false"/>
              <w:rPr/>
            </w:pPr>
            <w:r>
              <w:rPr>
                <w:rFonts w:eastAsia="" w:cs="Times New Roman" w:eastAsiaTheme="minorEastAsia"/>
                <w:color w:val="00000A"/>
                <w:sz w:val="20"/>
                <w:szCs w:val="20"/>
                <w:lang w:val="en-US" w:eastAsia="ru-RU" w:bidi="ar-SA"/>
              </w:rPr>
              <w:t>Присутствует</w:t>
            </w:r>
          </w:p>
        </w:tc>
      </w:tr>
    </w:tbl>
    <w:p>
      <w:pPr>
        <w:pStyle w:val="Normal"/>
        <w:rPr>
          <w:rFonts w:eastAsia="Times New Roman"/>
          <w:sz w:val="20"/>
          <w:szCs w:val="20"/>
        </w:rPr>
      </w:pPr>
      <w:r>
        <w:rPr>
          <w:rFonts w:eastAsia="Times New Roman"/>
          <w:sz w:val="20"/>
          <w:szCs w:val="20"/>
        </w:rPr>
      </w:r>
    </w:p>
    <w:p>
      <w:pPr>
        <w:pStyle w:val="Normal"/>
        <w:jc w:val="both"/>
        <w:rPr/>
      </w:pPr>
      <w:r>
        <w:rPr>
          <w:rFonts w:eastAsia="Times New Roman"/>
          <w:sz w:val="20"/>
          <w:szCs w:val="20"/>
        </w:rPr>
        <w:t>Заседание комиссии правомочно, кворум имеется.</w:t>
      </w:r>
    </w:p>
    <w:p>
      <w:pPr>
        <w:pStyle w:val="Normal"/>
        <w:rPr>
          <w:rFonts w:eastAsia="Times New Roman"/>
          <w:sz w:val="20"/>
          <w:szCs w:val="20"/>
        </w:rPr>
      </w:pPr>
      <w:r>
        <w:rPr>
          <w:rFonts w:eastAsia="Times New Roman"/>
          <w:sz w:val="20"/>
          <w:szCs w:val="20"/>
        </w:rPr>
      </w:r>
    </w:p>
    <w:p>
      <w:pPr>
        <w:pStyle w:val="Normal"/>
        <w:rPr>
          <w:sz w:val="20"/>
          <w:szCs w:val="20"/>
        </w:rPr>
      </w:pPr>
      <w:r>
        <w:rPr>
          <w:rFonts w:eastAsia="Times New Roman"/>
          <w:sz w:val="20"/>
          <w:szCs w:val="20"/>
        </w:rPr>
        <w:t>Аукционной комиссией рассмотрены вторые части заявок на участие в аукционе, поданных его участниками, а также информация и электронные документы этих участников, предусмотренные частью 11 статьи 24.1 Федерального закона №44-ФЗ.</w:t>
      </w:r>
    </w:p>
    <w:p>
      <w:pPr>
        <w:pStyle w:val="Normal"/>
        <w:rPr>
          <w:rFonts w:eastAsia="Times New Roman"/>
          <w:sz w:val="20"/>
          <w:szCs w:val="20"/>
        </w:rPr>
      </w:pPr>
      <w:r>
        <w:rPr>
          <w:rFonts w:eastAsia="Times New Roman"/>
          <w:sz w:val="20"/>
          <w:szCs w:val="20"/>
        </w:rPr>
      </w:r>
    </w:p>
    <w:tbl>
      <w:tblPr>
        <w:tblW w:w="9977" w:type="dxa"/>
        <w:jc w:val="left"/>
        <w:tblInd w:w="0" w:type="dxa"/>
        <w:tblLayout w:type="fixed"/>
        <w:tblCellMar>
          <w:top w:w="55" w:type="dxa"/>
          <w:left w:w="55" w:type="dxa"/>
          <w:bottom w:w="55" w:type="dxa"/>
          <w:right w:w="55" w:type="dxa"/>
        </w:tblCellMar>
        <w:tblLook w:firstRow="1" w:noVBand="1" w:lastRow="0" w:firstColumn="1" w:lastColumn="0" w:noHBand="0" w:val="04a0"/>
      </w:tblPr>
      <w:tblGrid>
        <w:gridCol w:w="2550"/>
        <w:gridCol w:w="4008"/>
        <w:gridCol w:w="3419"/>
      </w:tblGrid>
      <w:tr>
        <w:trPr>
          <w:trHeight w:val="285" w:hRule="atLeast"/>
        </w:trPr>
        <w:tc>
          <w:tcPr>
            <w:tcW w:w="9977" w:type="dxa"/>
            <w:gridSpan w:val="3"/>
            <w:tcBorders/>
            <w:shd w:color="auto" w:fill="auto" w:val="clear"/>
          </w:tcPr>
          <w:p>
            <w:pPr>
              <w:pStyle w:val="Normal"/>
              <w:widowControl w:val="false"/>
              <w:rPr/>
            </w:pPr>
            <w:r>
              <w:rPr>
                <w:rFonts w:eastAsia="Times New Roman"/>
                <w:sz w:val="20"/>
                <w:szCs w:val="20"/>
              </w:rPr>
              <w:t>Сведения об участниках аукциона:</w:t>
            </w:r>
          </w:p>
        </w:tc>
      </w:tr>
      <w:tr>
        <w:trPr/>
        <w:tc>
          <w:tcPr>
            <w:tcW w:w="2550" w:type="dxa"/>
            <w:tcBorders>
              <w:top w:val="single" w:sz="2" w:space="0" w:color="000001"/>
              <w:left w:val="single" w:sz="2" w:space="0" w:color="000001"/>
              <w:bottom w:val="single" w:sz="2" w:space="0" w:color="000001"/>
              <w:right w:val="single" w:sz="2" w:space="0" w:color="000001"/>
            </w:tcBorders>
            <w:shd w:color="auto" w:fill="auto" w:val="clear"/>
            <w:tcMar>
              <w:left w:w="0" w:type="dxa"/>
            </w:tcMar>
            <w:vAlign w:val="center"/>
          </w:tcPr>
          <w:p>
            <w:pPr>
              <w:pStyle w:val="Normal"/>
              <w:widowControl w:val="false"/>
              <w:jc w:val="center"/>
              <w:rPr/>
            </w:pPr>
            <w:r>
              <w:rPr>
                <w:rFonts w:eastAsia="Times New Roman"/>
                <w:sz w:val="20"/>
                <w:szCs w:val="20"/>
              </w:rPr>
              <w:t>Идентификационный номер</w:t>
            </w:r>
          </w:p>
        </w:tc>
        <w:tc>
          <w:tcPr>
            <w:tcW w:w="4008" w:type="dxa"/>
            <w:tcBorders>
              <w:top w:val="single" w:sz="2" w:space="0" w:color="000001"/>
              <w:left w:val="single" w:sz="2" w:space="0" w:color="000001"/>
              <w:bottom w:val="single" w:sz="2" w:space="0" w:color="000001"/>
              <w:right w:val="single" w:sz="2" w:space="0" w:color="000001"/>
            </w:tcBorders>
            <w:shd w:color="auto" w:fill="auto" w:val="clear"/>
            <w:tcMar>
              <w:left w:w="0" w:type="dxa"/>
            </w:tcMar>
            <w:vAlign w:val="center"/>
          </w:tcPr>
          <w:p>
            <w:pPr>
              <w:pStyle w:val="Normal"/>
              <w:widowControl w:val="false"/>
              <w:jc w:val="center"/>
              <w:rPr/>
            </w:pPr>
            <w:r>
              <w:rPr>
                <w:rFonts w:eastAsia="Times New Roman"/>
                <w:sz w:val="20"/>
                <w:szCs w:val="20"/>
              </w:rPr>
              <w:t>Наименование / ИНН участника аукциона</w:t>
            </w:r>
          </w:p>
        </w:tc>
        <w:tc>
          <w:tcPr>
            <w:tcW w:w="3419" w:type="dxa"/>
            <w:tcBorders>
              <w:top w:val="single" w:sz="2" w:space="0" w:color="000001"/>
              <w:left w:val="single" w:sz="2" w:space="0" w:color="000001"/>
              <w:bottom w:val="single" w:sz="2" w:space="0" w:color="000001"/>
              <w:right w:val="single" w:sz="2" w:space="0" w:color="000001"/>
            </w:tcBorders>
            <w:shd w:color="auto" w:fill="auto" w:val="clear"/>
            <w:tcMar>
              <w:left w:w="0" w:type="dxa"/>
            </w:tcMar>
            <w:vAlign w:val="center"/>
          </w:tcPr>
          <w:p>
            <w:pPr>
              <w:pStyle w:val="Normal"/>
              <w:widowControl w:val="false"/>
              <w:jc w:val="center"/>
              <w:rPr/>
            </w:pPr>
            <w:r>
              <w:rPr>
                <w:rFonts w:eastAsia="Times New Roman"/>
                <w:sz w:val="20"/>
                <w:szCs w:val="20"/>
              </w:rPr>
              <w:t>Минимальное предложение о цене контракта, сделанное участником аукциона</w:t>
            </w:r>
          </w:p>
        </w:tc>
      </w:tr>
      <w:tr>
        <w:trPr/>
        <w:tc>
          <w:tcPr>
            <w:tcW w:w="2550"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pPr>
            <w:r>
              <w:rPr>
                <w:sz w:val="20"/>
                <w:szCs w:val="20"/>
                <w:lang w:val="en-US"/>
              </w:rPr>
              <w:t>EA-119711</w:t>
            </w:r>
          </w:p>
        </w:tc>
        <w:tc>
          <w:tcPr>
            <w:tcW w:w="400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pPr>
            <w:r>
              <w:rPr>
                <w:sz w:val="20"/>
                <w:szCs w:val="20"/>
                <w:lang w:val="en-US"/>
              </w:rPr>
              <w:t>ОБЩЕСТВО С ОГРАНИЧЕННОЙ ОТВЕТСТВЕННОСТЬЮ "КОМПТРЕЙД" / 4029046541</w:t>
            </w:r>
          </w:p>
        </w:tc>
        <w:tc>
          <w:tcPr>
            <w:tcW w:w="341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pPr>
            <w:r>
              <w:rPr>
                <w:sz w:val="20"/>
                <w:szCs w:val="20"/>
                <w:lang w:val="en-US"/>
              </w:rPr>
              <w:t>880 562,07 руб.</w:t>
            </w:r>
          </w:p>
        </w:tc>
      </w:tr>
      <w:tr>
        <w:trPr/>
        <w:tc>
          <w:tcPr>
            <w:tcW w:w="2550"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pPr>
            <w:r>
              <w:rPr>
                <w:sz w:val="20"/>
                <w:szCs w:val="20"/>
                <w:lang w:val="en-US"/>
              </w:rPr>
              <w:t>EA-119678</w:t>
            </w:r>
          </w:p>
        </w:tc>
        <w:tc>
          <w:tcPr>
            <w:tcW w:w="400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pPr>
            <w:r>
              <w:rPr>
                <w:sz w:val="20"/>
                <w:szCs w:val="20"/>
                <w:lang w:val="en-US"/>
              </w:rPr>
              <w:t>ОБЩЕСТВО С ОГРАНИЧЕННОЙ ОТВЕТСТВЕННОСТЬЮ "КОМПЬЮТЕРЫ ЭЛСИ" / 3123205363</w:t>
            </w:r>
          </w:p>
        </w:tc>
        <w:tc>
          <w:tcPr>
            <w:tcW w:w="341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pPr>
            <w:r>
              <w:rPr>
                <w:sz w:val="20"/>
                <w:szCs w:val="20"/>
                <w:lang w:val="en-US"/>
              </w:rPr>
              <w:t>885 221,84 руб.</w:t>
            </w:r>
          </w:p>
        </w:tc>
      </w:tr>
      <w:tr>
        <w:trPr/>
        <w:tc>
          <w:tcPr>
            <w:tcW w:w="2550"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pPr>
            <w:r>
              <w:rPr>
                <w:sz w:val="20"/>
                <w:szCs w:val="20"/>
                <w:lang w:val="en-US"/>
              </w:rPr>
              <w:t>EA-118505</w:t>
            </w:r>
          </w:p>
        </w:tc>
        <w:tc>
          <w:tcPr>
            <w:tcW w:w="400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pPr>
            <w:r>
              <w:rPr>
                <w:sz w:val="20"/>
                <w:szCs w:val="20"/>
                <w:lang w:val="en-US"/>
              </w:rPr>
              <w:t>ДЕВАЕВА АННА ВЛАДИМИРОВНА / 463404553799</w:t>
            </w:r>
          </w:p>
        </w:tc>
        <w:tc>
          <w:tcPr>
            <w:tcW w:w="341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pPr>
            <w:r>
              <w:rPr>
                <w:sz w:val="20"/>
                <w:szCs w:val="20"/>
                <w:lang w:val="en-US"/>
              </w:rPr>
              <w:t>899 201,15 руб.</w:t>
            </w:r>
          </w:p>
        </w:tc>
      </w:tr>
    </w:tbl>
    <w:p>
      <w:pPr>
        <w:pStyle w:val="Normal"/>
        <w:rPr>
          <w:rFonts w:eastAsia="Times New Roman"/>
        </w:rPr>
      </w:pPr>
      <w:r>
        <w:rPr>
          <w:rFonts w:eastAsia="Times New Roman"/>
        </w:rPr>
      </w:r>
    </w:p>
    <w:p>
      <w:pPr>
        <w:pStyle w:val="Normal"/>
        <w:rPr>
          <w:rFonts w:eastAsia="Times New Roman"/>
          <w:sz w:val="20"/>
          <w:szCs w:val="20"/>
        </w:rPr>
      </w:pPr>
      <w:r>
        <w:rPr>
          <w:rFonts w:eastAsia="Times New Roman"/>
          <w:sz w:val="20"/>
          <w:szCs w:val="20"/>
        </w:rPr>
      </w:r>
    </w:p>
    <w:tbl>
      <w:tblPr>
        <w:tblW w:w="9977" w:type="dxa"/>
        <w:jc w:val="left"/>
        <w:tblInd w:w="0" w:type="dxa"/>
        <w:tblLayout w:type="fixed"/>
        <w:tblCellMar>
          <w:top w:w="55" w:type="dxa"/>
          <w:left w:w="55" w:type="dxa"/>
          <w:bottom w:w="55" w:type="dxa"/>
          <w:right w:w="55" w:type="dxa"/>
        </w:tblCellMar>
        <w:tblLook w:firstRow="1" w:noVBand="1" w:lastRow="0" w:firstColumn="1" w:lastColumn="0" w:noHBand="0" w:val="04a0"/>
      </w:tblPr>
      <w:tblGrid>
        <w:gridCol w:w="2551"/>
        <w:gridCol w:w="2937"/>
        <w:gridCol w:w="2751"/>
        <w:gridCol w:w="1737"/>
      </w:tblGrid>
      <w:tr>
        <w:trPr/>
        <w:tc>
          <w:tcPr>
            <w:tcW w:w="9976" w:type="dxa"/>
            <w:gridSpan w:val="4"/>
            <w:tcBorders/>
            <w:shd w:color="auto" w:fill="auto" w:val="clear"/>
          </w:tcPr>
          <w:p>
            <w:pPr>
              <w:pStyle w:val="Normal"/>
              <w:widowControl w:val="false"/>
              <w:ind w:left="-45" w:hanging="0"/>
              <w:rPr/>
            </w:pPr>
            <w:r>
              <w:rPr>
                <w:rFonts w:eastAsia="Times New Roman"/>
                <w:sz w:val="20"/>
                <w:szCs w:val="20"/>
              </w:rPr>
              <w:t>Сведения о решении аукционной комиссии:</w:t>
            </w:r>
          </w:p>
        </w:tc>
      </w:tr>
      <w:tr>
        <w:trPr/>
        <w:tc>
          <w:tcPr>
            <w:tcW w:w="2551" w:type="dxa"/>
            <w:tcBorders>
              <w:top w:val="single" w:sz="2" w:space="0" w:color="000001"/>
              <w:left w:val="single" w:sz="2" w:space="0" w:color="000001"/>
              <w:bottom w:val="single" w:sz="2" w:space="0" w:color="000001"/>
              <w:right w:val="single" w:sz="2" w:space="0" w:color="000001"/>
            </w:tcBorders>
            <w:shd w:color="auto" w:fill="auto" w:val="clear"/>
            <w:tcMar>
              <w:left w:w="0" w:type="dxa"/>
            </w:tcMar>
            <w:vAlign w:val="center"/>
          </w:tcPr>
          <w:p>
            <w:pPr>
              <w:pStyle w:val="Normal"/>
              <w:widowControl w:val="false"/>
              <w:bidi w:val="0"/>
              <w:spacing w:before="0" w:after="0"/>
              <w:ind w:left="0" w:right="0" w:hanging="0"/>
              <w:jc w:val="center"/>
              <w:rPr/>
            </w:pPr>
            <w:r>
              <w:rPr>
                <w:rFonts w:eastAsia="Times New Roman"/>
                <w:sz w:val="20"/>
                <w:szCs w:val="20"/>
              </w:rPr>
              <w:t xml:space="preserve">Идентификационный номер </w:t>
            </w:r>
            <w:r>
              <w:rPr>
                <w:rFonts w:eastAsia="Times New Roman"/>
                <w:sz w:val="20"/>
                <w:szCs w:val="20"/>
                <w:lang w:val="en-US"/>
              </w:rPr>
              <w:t xml:space="preserve">/ </w:t>
            </w:r>
            <w:r>
              <w:rPr>
                <w:rFonts w:eastAsia="Times New Roman"/>
                <w:sz w:val="20"/>
                <w:szCs w:val="20"/>
                <w:lang w:val="ru-RU"/>
              </w:rPr>
              <w:t>Наименование участника</w:t>
            </w:r>
          </w:p>
        </w:tc>
        <w:tc>
          <w:tcPr>
            <w:tcW w:w="2937" w:type="dxa"/>
            <w:tcBorders>
              <w:top w:val="single" w:sz="2" w:space="0" w:color="000001"/>
              <w:left w:val="single" w:sz="2" w:space="0" w:color="000001"/>
              <w:bottom w:val="single" w:sz="2" w:space="0" w:color="000001"/>
              <w:right w:val="single" w:sz="2" w:space="0" w:color="000001"/>
            </w:tcBorders>
            <w:shd w:color="auto" w:fill="auto" w:val="clear"/>
            <w:tcMar>
              <w:left w:w="0" w:type="dxa"/>
            </w:tcMar>
            <w:vAlign w:val="center"/>
          </w:tcPr>
          <w:p>
            <w:pPr>
              <w:pStyle w:val="Normal"/>
              <w:widowControl w:val="false"/>
              <w:overflowPunct w:val="true"/>
              <w:bidi w:val="0"/>
              <w:spacing w:before="0" w:after="0"/>
              <w:ind w:left="0" w:right="0" w:hanging="0"/>
              <w:jc w:val="center"/>
              <w:rPr/>
            </w:pPr>
            <w:r>
              <w:rPr>
                <w:rFonts w:eastAsia="Times New Roman" w:cs="Times New Roman"/>
                <w:color w:val="00000A"/>
                <w:sz w:val="20"/>
                <w:szCs w:val="20"/>
                <w:lang w:val="ru-RU" w:eastAsia="ru-RU" w:bidi="ar-SA"/>
              </w:rPr>
              <w:t>Решение о соответствии или о несоответствии заявки требованиям документации</w:t>
            </w:r>
          </w:p>
        </w:tc>
        <w:tc>
          <w:tcPr>
            <w:tcW w:w="2751" w:type="dxa"/>
            <w:tcBorders>
              <w:top w:val="single" w:sz="2" w:space="0" w:color="000001"/>
              <w:left w:val="single" w:sz="2" w:space="0" w:color="000001"/>
              <w:bottom w:val="single" w:sz="2" w:space="0" w:color="000001"/>
              <w:right w:val="single" w:sz="2" w:space="0" w:color="000001"/>
            </w:tcBorders>
            <w:shd w:color="auto" w:fill="auto" w:val="clear"/>
            <w:tcMar>
              <w:left w:w="0" w:type="dxa"/>
            </w:tcMar>
            <w:vAlign w:val="center"/>
          </w:tcPr>
          <w:p>
            <w:pPr>
              <w:pStyle w:val="Normal"/>
              <w:widowControl w:val="false"/>
              <w:bidi w:val="0"/>
              <w:spacing w:before="0" w:after="0"/>
              <w:ind w:left="0" w:right="0" w:hanging="0"/>
              <w:jc w:val="center"/>
              <w:rPr/>
            </w:pPr>
            <w:r>
              <w:rPr>
                <w:rFonts w:eastAsia="Times New Roman"/>
                <w:sz w:val="20"/>
                <w:szCs w:val="20"/>
              </w:rPr>
              <w:t>Ф.И.О. члена аукционной комиссии</w:t>
            </w:r>
          </w:p>
        </w:tc>
        <w:tc>
          <w:tcPr>
            <w:tcW w:w="1737" w:type="dxa"/>
            <w:tcBorders>
              <w:top w:val="single" w:sz="2" w:space="0" w:color="000001"/>
              <w:left w:val="single" w:sz="2" w:space="0" w:color="000001"/>
              <w:bottom w:val="single" w:sz="2" w:space="0" w:color="000001"/>
              <w:right w:val="single" w:sz="2" w:space="0" w:color="000001"/>
            </w:tcBorders>
            <w:shd w:color="auto" w:fill="auto" w:val="clear"/>
            <w:tcMar>
              <w:left w:w="0" w:type="dxa"/>
            </w:tcMar>
            <w:vAlign w:val="center"/>
          </w:tcPr>
          <w:p>
            <w:pPr>
              <w:pStyle w:val="Normal"/>
              <w:widowControl w:val="false"/>
              <w:bidi w:val="0"/>
              <w:spacing w:before="0" w:after="0"/>
              <w:ind w:left="0" w:right="0" w:hanging="0"/>
              <w:jc w:val="center"/>
              <w:rPr/>
            </w:pPr>
            <w:r>
              <w:rPr>
                <w:rFonts w:eastAsia="Times New Roman"/>
                <w:sz w:val="20"/>
                <w:szCs w:val="20"/>
              </w:rPr>
              <w:t>Решение  члена комиссии</w:t>
            </w:r>
          </w:p>
        </w:tc>
      </w:tr>
      <w:tr>
        <w:trPr/>
        <w:tc>
          <w:tcPr>
            <w:tcW w:w="2551" w:type="dxa"/>
            <w:vMerge w:val="restart"/>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pPr>
            <w:r>
              <w:rPr>
                <w:sz w:val="20"/>
                <w:szCs w:val="20"/>
                <w:lang w:val="en-US"/>
              </w:rPr>
              <w:t>EA-119711</w:t>
            </w:r>
          </w:p>
          <w:p>
            <w:pPr>
              <w:pStyle w:val="Style23"/>
              <w:widowControl w:val="false"/>
              <w:rPr/>
            </w:pPr>
            <w:r>
              <w:rPr>
                <w:sz w:val="20"/>
                <w:szCs w:val="20"/>
                <w:lang w:val="en-US"/>
              </w:rPr>
              <w:t>ОБЩЕСТВО С ОГРАНИЧЕННОЙ ОТВЕТСТВЕННОСТЬЮ "КОМПТРЕЙД"</w:t>
            </w:r>
          </w:p>
        </w:tc>
        <w:tc>
          <w:tcPr>
            <w:tcW w:w="2937" w:type="dxa"/>
            <w:vMerge w:val="restart"/>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pPr>
            <w:r>
              <w:rPr>
                <w:rFonts w:eastAsia="Times New Roman" w:cs="Times New Roman"/>
                <w:color w:val="00000A"/>
                <w:sz w:val="20"/>
                <w:szCs w:val="20"/>
                <w:lang w:val="ru-RU" w:eastAsia="ru-RU" w:bidi="ar-SA"/>
              </w:rPr>
              <w:t>Н</w:t>
            </w:r>
            <w:r>
              <w:rPr>
                <w:rFonts w:eastAsia="Times New Roman" w:cs="Times New Roman"/>
                <w:color w:val="00000A"/>
                <w:sz w:val="20"/>
                <w:szCs w:val="20"/>
                <w:lang w:val="en-US" w:eastAsia="ru-RU" w:bidi="ar-SA"/>
              </w:rPr>
              <w:t>а основании нормативных правовых актов, принятых в соответствии со статьей 14 Федерального закона №44-ФЗ</w:t>
              <w:br/>
              <w:t xml:space="preserve"> Непредставление документа, который предусмотрен п. 6 части 5 ст.66 Федерального закона от 05.04.2013 № 44-ФЗ «О контрактной системе в сфере закупок товаров, работ, услуг для обеспечения государственных и муниципальных нужд» , документа, подтверждающего соответствие участника аукциона и предлагаемого им товара, ограничениям, установленным заказчиком в соответствии с частью 3 статьи 14 вышеуказанного Федерального закона: Участник аукциона не предоставил декларацию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N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на объект закупки «Системный блок» по коду ОКПД2 26.20.15.000, «Ноутбук» по коду ОКПД2 26.20.11.110, «Компьютер персональный настольный (моноблок)» по коду ОКПД2 26.20.15.000, установленную Постановлением Правительства РФ от 30.04.2020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и пунктами 37 и 38 аукционной документации</w:t>
              <w:br/>
            </w:r>
          </w:p>
        </w:tc>
        <w:tc>
          <w:tcPr>
            <w:tcW w:w="275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rPr>
            </w:pPr>
            <w:r>
              <w:rPr>
                <w:sz w:val="20"/>
                <w:szCs w:val="20"/>
                <w:lang w:val="en-US"/>
              </w:rPr>
              <w:t>Мухина Елена Юрьевна</w:t>
            </w:r>
          </w:p>
        </w:tc>
        <w:tc>
          <w:tcPr>
            <w:tcW w:w="173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rPr>
            </w:pPr>
            <w:r>
              <w:rPr>
                <w:sz w:val="20"/>
                <w:szCs w:val="20"/>
                <w:lang w:val="en-US"/>
              </w:rPr>
              <w:t>Не соответствует</w:t>
            </w:r>
          </w:p>
        </w:tc>
      </w:tr>
      <w:tr>
        <w:trPr/>
        <w:tc>
          <w:tcPr>
            <w:tcW w:w="2551"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pPr>
            <w:r>
              <w:rPr>
                <w:sz w:val="20"/>
                <w:szCs w:val="20"/>
                <w:lang w:val="en-US"/>
              </w:rPr>
              <w:t>EA-119711</w:t>
            </w:r>
          </w:p>
          <w:p>
            <w:pPr>
              <w:pStyle w:val="Style23"/>
              <w:widowControl w:val="false"/>
              <w:rPr/>
            </w:pPr>
            <w:r>
              <w:rPr>
                <w:sz w:val="20"/>
                <w:szCs w:val="20"/>
                <w:lang w:val="en-US"/>
              </w:rPr>
              <w:t>ОБЩЕСТВО С ОГРАНИЧЕННОЙ ОТВЕТСТВЕННОСТЬЮ "КОМПТРЕЙД"</w:t>
            </w:r>
          </w:p>
        </w:tc>
        <w:tc>
          <w:tcPr>
            <w:tcW w:w="2937"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pPr>
            <w:r>
              <w:rPr>
                <w:rFonts w:eastAsia="Times New Roman" w:cs="Times New Roman"/>
                <w:color w:val="00000A"/>
                <w:sz w:val="20"/>
                <w:szCs w:val="20"/>
                <w:lang w:val="en-US" w:eastAsia="ru-RU" w:bidi="ar-SA"/>
              </w:rPr>
              <w:t>Не соответствует</w:t>
            </w:r>
          </w:p>
          <w:p>
            <w:pPr>
              <w:pStyle w:val="Style23"/>
              <w:widowControl w:val="false"/>
              <w:rPr>
                <w:rFonts w:eastAsia="Times New Roman" w:cs="Times New Roman"/>
                <w:color w:val="00000A"/>
                <w:sz w:val="20"/>
                <w:szCs w:val="20"/>
                <w:lang w:val="en-US" w:eastAsia="ru-RU" w:bidi="ar-SA"/>
              </w:rPr>
            </w:pPr>
            <w:r>
              <w:rPr>
                <w:rFonts w:eastAsia="Times New Roman" w:cs="Times New Roman"/>
                <w:color w:val="00000A"/>
                <w:sz w:val="20"/>
                <w:szCs w:val="20"/>
                <w:lang w:val="en-US" w:eastAsia="ru-RU" w:bidi="ar-SA"/>
              </w:rPr>
            </w:r>
          </w:p>
          <w:p>
            <w:pPr>
              <w:pStyle w:val="Style23"/>
              <w:widowControl w:val="false"/>
              <w:rPr/>
            </w:pPr>
            <w:r>
              <w:rPr>
                <w:rFonts w:eastAsia="Times New Roman" w:cs="Times New Roman"/>
                <w:color w:val="00000A"/>
                <w:sz w:val="20"/>
                <w:szCs w:val="20"/>
                <w:lang w:val="en-US" w:eastAsia="ru-RU" w:bidi="ar-SA"/>
              </w:rPr>
              <w:t>Обоснование:</w:t>
              <w:br/>
              <w:t>на основании нормативных правовых актов, принятых в соответствии со статьей 14 Федерального закона №44-ФЗ</w:t>
              <w:br/>
              <w:br/>
              <w:t>Комментарий: Непредставление документа, который предусмотрен п. 6 части 5 ст.66 Федерального закона от 05.04.2013 № 44-ФЗ «О контрактной системе в сфере закупок товаров, работ, услуг для обеспечения государственных и муниципальных нужд» , документа, подтверждающего соответствие участника аукциона и предлагаемого им товара, ограничениям, установленным заказчиком в соответствии с частью 3 статьи 14 вышеуказанного Федерального закона: Участник аукциона не предоставил декларацию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N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на объект закупки «Системный блок» по коду ОКПД2 26.20.15.000, «Ноутбук» по коду ОКПД2 26.20.11.110, «Компьютер персональный настольный (моноблок)» по коду ОКПД2 26.20.15.000, установленную Постановлением Правительства РФ от 30.04.2020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и пунктами 37 и 38 аукционной документации</w:t>
              <w:br/>
            </w:r>
          </w:p>
        </w:tc>
        <w:tc>
          <w:tcPr>
            <w:tcW w:w="275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rPr>
            </w:pPr>
            <w:r>
              <w:rPr>
                <w:sz w:val="20"/>
                <w:szCs w:val="20"/>
                <w:lang w:val="en-US"/>
              </w:rPr>
              <w:t>Гринев Денис Юрьевич</w:t>
            </w:r>
          </w:p>
        </w:tc>
        <w:tc>
          <w:tcPr>
            <w:tcW w:w="173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rPr>
            </w:pPr>
            <w:r>
              <w:rPr>
                <w:sz w:val="20"/>
                <w:szCs w:val="20"/>
                <w:lang w:val="en-US"/>
              </w:rPr>
              <w:t>Не соответствует</w:t>
            </w:r>
          </w:p>
        </w:tc>
      </w:tr>
      <w:tr>
        <w:trPr/>
        <w:tc>
          <w:tcPr>
            <w:tcW w:w="2551"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pPr>
            <w:r>
              <w:rPr>
                <w:sz w:val="20"/>
                <w:szCs w:val="20"/>
                <w:lang w:val="en-US"/>
              </w:rPr>
              <w:t>EA-119711</w:t>
            </w:r>
          </w:p>
          <w:p>
            <w:pPr>
              <w:pStyle w:val="Style23"/>
              <w:widowControl w:val="false"/>
              <w:rPr/>
            </w:pPr>
            <w:r>
              <w:rPr>
                <w:sz w:val="20"/>
                <w:szCs w:val="20"/>
                <w:lang w:val="en-US"/>
              </w:rPr>
              <w:t>ОБЩЕСТВО С ОГРАНИЧЕННОЙ ОТВЕТСТВЕННОСТЬЮ "КОМПТРЕЙД"</w:t>
            </w:r>
          </w:p>
        </w:tc>
        <w:tc>
          <w:tcPr>
            <w:tcW w:w="2937"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pPr>
            <w:r>
              <w:rPr>
                <w:rFonts w:eastAsia="Times New Roman" w:cs="Times New Roman"/>
                <w:color w:val="00000A"/>
                <w:sz w:val="20"/>
                <w:szCs w:val="20"/>
                <w:lang w:val="en-US" w:eastAsia="ru-RU" w:bidi="ar-SA"/>
              </w:rPr>
              <w:t>Не соответствует</w:t>
            </w:r>
          </w:p>
          <w:p>
            <w:pPr>
              <w:pStyle w:val="Style23"/>
              <w:widowControl w:val="false"/>
              <w:rPr>
                <w:rFonts w:eastAsia="Times New Roman" w:cs="Times New Roman"/>
                <w:color w:val="00000A"/>
                <w:sz w:val="20"/>
                <w:szCs w:val="20"/>
                <w:lang w:val="en-US" w:eastAsia="ru-RU" w:bidi="ar-SA"/>
              </w:rPr>
            </w:pPr>
            <w:r>
              <w:rPr>
                <w:rFonts w:eastAsia="Times New Roman" w:cs="Times New Roman"/>
                <w:color w:val="00000A"/>
                <w:sz w:val="20"/>
                <w:szCs w:val="20"/>
                <w:lang w:val="en-US" w:eastAsia="ru-RU" w:bidi="ar-SA"/>
              </w:rPr>
            </w:r>
          </w:p>
          <w:p>
            <w:pPr>
              <w:pStyle w:val="Style23"/>
              <w:widowControl w:val="false"/>
              <w:rPr/>
            </w:pPr>
            <w:r>
              <w:rPr>
                <w:rFonts w:eastAsia="Times New Roman" w:cs="Times New Roman"/>
                <w:color w:val="00000A"/>
                <w:sz w:val="20"/>
                <w:szCs w:val="20"/>
                <w:lang w:val="en-US" w:eastAsia="ru-RU" w:bidi="ar-SA"/>
              </w:rPr>
              <w:t>Обоснование:</w:t>
              <w:br/>
              <w:t>на основании нормативных правовых актов, принятых в соответствии со статьей 14 Федерального закона №44-ФЗ</w:t>
              <w:br/>
              <w:br/>
              <w:t>Комментарий: Непредставление документа, который предусмотрен п. 6 части 5 ст.66 Федерального закона от 05.04.2013 № 44-ФЗ «О контрактной системе в сфере закупок товаров, работ, услуг для обеспечения государственных и муниципальных нужд» , документа, подтверждающего соответствие участника аукциона и предлагаемого им товара, ограничениям, установленным заказчиком в соответствии с частью 3 статьи 14 вышеуказанного Федерального закона: Участник аукциона не предоставил декларацию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N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на объект закупки «Системный блок» по коду ОКПД2 26.20.15.000, «Ноутбук» по коду ОКПД2 26.20.11.110, «Компьютер персональный настольный (моноблок)» по коду ОКПД2 26.20.15.000, установленную Постановлением Правительства РФ от 30.04.2020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и пунктами 37 и 38 аукционной документации</w:t>
              <w:br/>
            </w:r>
          </w:p>
        </w:tc>
        <w:tc>
          <w:tcPr>
            <w:tcW w:w="275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rPr>
            </w:pPr>
            <w:r>
              <w:rPr>
                <w:sz w:val="20"/>
                <w:szCs w:val="20"/>
                <w:lang w:val="en-US"/>
              </w:rPr>
              <w:t>Лазарева Анастасия Александровна</w:t>
            </w:r>
          </w:p>
        </w:tc>
        <w:tc>
          <w:tcPr>
            <w:tcW w:w="173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rPr>
            </w:pPr>
            <w:r>
              <w:rPr>
                <w:sz w:val="20"/>
                <w:szCs w:val="20"/>
                <w:lang w:val="en-US"/>
              </w:rPr>
              <w:t>Не соответствует</w:t>
            </w:r>
          </w:p>
        </w:tc>
      </w:tr>
      <w:tr>
        <w:trPr/>
        <w:tc>
          <w:tcPr>
            <w:tcW w:w="2551"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pPr>
            <w:r>
              <w:rPr>
                <w:sz w:val="20"/>
                <w:szCs w:val="20"/>
                <w:lang w:val="en-US"/>
              </w:rPr>
              <w:t>EA-119711</w:t>
            </w:r>
          </w:p>
          <w:p>
            <w:pPr>
              <w:pStyle w:val="Style23"/>
              <w:widowControl w:val="false"/>
              <w:rPr/>
            </w:pPr>
            <w:r>
              <w:rPr>
                <w:sz w:val="20"/>
                <w:szCs w:val="20"/>
                <w:lang w:val="en-US"/>
              </w:rPr>
              <w:t>ОБЩЕСТВО С ОГРАНИЧЕННОЙ ОТВЕТСТВЕННОСТЬЮ "КОМПТРЕЙД"</w:t>
            </w:r>
          </w:p>
        </w:tc>
        <w:tc>
          <w:tcPr>
            <w:tcW w:w="2937"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pPr>
            <w:r>
              <w:rPr>
                <w:rFonts w:eastAsia="Times New Roman" w:cs="Times New Roman"/>
                <w:color w:val="00000A"/>
                <w:sz w:val="20"/>
                <w:szCs w:val="20"/>
                <w:lang w:val="en-US" w:eastAsia="ru-RU" w:bidi="ar-SA"/>
              </w:rPr>
              <w:t>Не соответствует</w:t>
            </w:r>
          </w:p>
          <w:p>
            <w:pPr>
              <w:pStyle w:val="Style23"/>
              <w:widowControl w:val="false"/>
              <w:rPr>
                <w:rFonts w:eastAsia="Times New Roman" w:cs="Times New Roman"/>
                <w:color w:val="00000A"/>
                <w:sz w:val="20"/>
                <w:szCs w:val="20"/>
                <w:lang w:val="en-US" w:eastAsia="ru-RU" w:bidi="ar-SA"/>
              </w:rPr>
            </w:pPr>
            <w:r>
              <w:rPr>
                <w:rFonts w:eastAsia="Times New Roman" w:cs="Times New Roman"/>
                <w:color w:val="00000A"/>
                <w:sz w:val="20"/>
                <w:szCs w:val="20"/>
                <w:lang w:val="en-US" w:eastAsia="ru-RU" w:bidi="ar-SA"/>
              </w:rPr>
            </w:r>
          </w:p>
          <w:p>
            <w:pPr>
              <w:pStyle w:val="Style23"/>
              <w:widowControl w:val="false"/>
              <w:rPr/>
            </w:pPr>
            <w:r>
              <w:rPr>
                <w:rFonts w:eastAsia="Times New Roman" w:cs="Times New Roman"/>
                <w:color w:val="00000A"/>
                <w:sz w:val="20"/>
                <w:szCs w:val="20"/>
                <w:lang w:val="en-US" w:eastAsia="ru-RU" w:bidi="ar-SA"/>
              </w:rPr>
              <w:t>Обоснование:</w:t>
              <w:br/>
              <w:t>на основании нормативных правовых актов, принятых в соответствии со статьей 14 Федерального закона №44-ФЗ</w:t>
              <w:br/>
              <w:br/>
              <w:t>Комментарий: Непредставление документа, который предусмотрен п. 6 части 5 ст.66 Федерального закона от 05.04.2013 № 44-ФЗ «О контрактной системе в сфере закупок товаров, работ, услуг для обеспечения государственных и муниципальных нужд» , документа, подтверждающего соответствие участника аукциона и предлагаемого им товара, ограничениям, установленным заказчиком в соответствии с частью 3 статьи 14 вышеуказанного Федерального закона: Участник аукциона не предоставил декларацию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N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на объект закупки «Системный блок» по коду ОКПД2 26.20.15.000, «Ноутбук» по коду ОКПД2 26.20.11.110, «Компьютер персональный настольный (моноблок)» по коду ОКПД2 26.20.15.000, установленную Постановлением Правительства РФ от 30.04.2020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и пунктами 37 и 38 аукционной документации</w:t>
              <w:br/>
            </w:r>
          </w:p>
        </w:tc>
        <w:tc>
          <w:tcPr>
            <w:tcW w:w="275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rPr>
            </w:pPr>
            <w:r>
              <w:rPr>
                <w:sz w:val="20"/>
                <w:szCs w:val="20"/>
                <w:lang w:val="en-US"/>
              </w:rPr>
              <w:t>Славкова Ирина Николаевна</w:t>
            </w:r>
          </w:p>
        </w:tc>
        <w:tc>
          <w:tcPr>
            <w:tcW w:w="173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rPr>
            </w:pPr>
            <w:r>
              <w:rPr>
                <w:sz w:val="20"/>
                <w:szCs w:val="20"/>
                <w:lang w:val="en-US"/>
              </w:rPr>
              <w:t>Не соответствует</w:t>
            </w:r>
          </w:p>
        </w:tc>
      </w:tr>
      <w:tr>
        <w:trPr/>
        <w:tc>
          <w:tcPr>
            <w:tcW w:w="2551"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pPr>
            <w:r>
              <w:rPr>
                <w:sz w:val="20"/>
                <w:szCs w:val="20"/>
                <w:lang w:val="en-US"/>
              </w:rPr>
              <w:t>EA-119711</w:t>
            </w:r>
          </w:p>
          <w:p>
            <w:pPr>
              <w:pStyle w:val="Style23"/>
              <w:widowControl w:val="false"/>
              <w:rPr/>
            </w:pPr>
            <w:r>
              <w:rPr>
                <w:sz w:val="20"/>
                <w:szCs w:val="20"/>
                <w:lang w:val="en-US"/>
              </w:rPr>
              <w:t>ОБЩЕСТВО С ОГРАНИЧЕННОЙ ОТВЕТСТВЕННОСТЬЮ "КОМПТРЕЙД"</w:t>
            </w:r>
          </w:p>
        </w:tc>
        <w:tc>
          <w:tcPr>
            <w:tcW w:w="2937"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pPr>
            <w:r>
              <w:rPr>
                <w:rFonts w:eastAsia="Times New Roman" w:cs="Times New Roman"/>
                <w:color w:val="00000A"/>
                <w:sz w:val="20"/>
                <w:szCs w:val="20"/>
                <w:lang w:val="en-US" w:eastAsia="ru-RU" w:bidi="ar-SA"/>
              </w:rPr>
              <w:t>Не соответствует</w:t>
            </w:r>
          </w:p>
          <w:p>
            <w:pPr>
              <w:pStyle w:val="Style23"/>
              <w:widowControl w:val="false"/>
              <w:rPr>
                <w:rFonts w:eastAsia="Times New Roman" w:cs="Times New Roman"/>
                <w:color w:val="00000A"/>
                <w:sz w:val="20"/>
                <w:szCs w:val="20"/>
                <w:lang w:val="en-US" w:eastAsia="ru-RU" w:bidi="ar-SA"/>
              </w:rPr>
            </w:pPr>
            <w:r>
              <w:rPr>
                <w:rFonts w:eastAsia="Times New Roman" w:cs="Times New Roman"/>
                <w:color w:val="00000A"/>
                <w:sz w:val="20"/>
                <w:szCs w:val="20"/>
                <w:lang w:val="en-US" w:eastAsia="ru-RU" w:bidi="ar-SA"/>
              </w:rPr>
            </w:r>
          </w:p>
          <w:p>
            <w:pPr>
              <w:pStyle w:val="Style23"/>
              <w:widowControl w:val="false"/>
              <w:rPr/>
            </w:pPr>
            <w:r>
              <w:rPr>
                <w:rFonts w:eastAsia="Times New Roman" w:cs="Times New Roman"/>
                <w:color w:val="00000A"/>
                <w:sz w:val="20"/>
                <w:szCs w:val="20"/>
                <w:lang w:val="en-US" w:eastAsia="ru-RU" w:bidi="ar-SA"/>
              </w:rPr>
              <w:t>Обоснование:</w:t>
              <w:br/>
              <w:t>на основании нормативных правовых актов, принятых в соответствии со статьей 14 Федерального закона №44-ФЗ</w:t>
              <w:br/>
              <w:br/>
              <w:t>Комментарий: Непредставление документа, который предусмотрен п. 6 части 5 ст.66 Федерального закона от 05.04.2013 № 44-ФЗ «О контрактной системе в сфере закупок товаров, работ, услуг для обеспечения государственных и муниципальных нужд» , документа, подтверждающего соответствие участника аукциона и предлагаемого им товара, ограничениям, установленным заказчиком в соответствии с частью 3 статьи 14 вышеуказанного Федерального закона: Участник аукциона не предоставил декларацию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N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на объект закупки «Системный блок» по коду ОКПД2 26.20.15.000, «Ноутбук» по коду ОКПД2 26.20.11.110, «Компьютер персональный настольный (моноблок)» по коду ОКПД2 26.20.15.000, установленную Постановлением Правительства РФ от 30.04.2020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и пунктами 37 и 38 аукционной документации</w:t>
              <w:br/>
            </w:r>
          </w:p>
        </w:tc>
        <w:tc>
          <w:tcPr>
            <w:tcW w:w="275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rPr>
            </w:pPr>
            <w:r>
              <w:rPr>
                <w:sz w:val="20"/>
                <w:szCs w:val="20"/>
                <w:lang w:val="en-US"/>
              </w:rPr>
              <w:t>Лыков Виталий Игоревич</w:t>
            </w:r>
          </w:p>
        </w:tc>
        <w:tc>
          <w:tcPr>
            <w:tcW w:w="173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rPr>
            </w:pPr>
            <w:r>
              <w:rPr>
                <w:sz w:val="20"/>
                <w:szCs w:val="20"/>
                <w:lang w:val="en-US"/>
              </w:rPr>
              <w:t>Не соответствует</w:t>
            </w:r>
          </w:p>
        </w:tc>
      </w:tr>
      <w:tr>
        <w:trPr/>
        <w:tc>
          <w:tcPr>
            <w:tcW w:w="2551" w:type="dxa"/>
            <w:vMerge w:val="restart"/>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pPr>
            <w:r>
              <w:rPr>
                <w:sz w:val="20"/>
                <w:szCs w:val="20"/>
                <w:lang w:val="en-US"/>
              </w:rPr>
              <w:t>EA-119678</w:t>
            </w:r>
          </w:p>
          <w:p>
            <w:pPr>
              <w:pStyle w:val="Style23"/>
              <w:widowControl w:val="false"/>
              <w:rPr/>
            </w:pPr>
            <w:r>
              <w:rPr>
                <w:sz w:val="20"/>
                <w:szCs w:val="20"/>
                <w:lang w:val="en-US"/>
              </w:rPr>
              <w:t>ОБЩЕСТВО С ОГРАНИЧЕННОЙ ОТВЕТСТВЕННОСТЬЮ "КОМПЬЮТЕРЫ ЭЛСИ"</w:t>
            </w:r>
          </w:p>
        </w:tc>
        <w:tc>
          <w:tcPr>
            <w:tcW w:w="2937" w:type="dxa"/>
            <w:vMerge w:val="restart"/>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pPr>
            <w:r>
              <w:rPr>
                <w:rFonts w:eastAsia="Times New Roman" w:cs="Times New Roman"/>
                <w:color w:val="00000A"/>
                <w:sz w:val="20"/>
                <w:szCs w:val="20"/>
                <w:lang w:val="ru-RU" w:eastAsia="ru-RU" w:bidi="ar-SA"/>
              </w:rPr>
              <w:t>Н</w:t>
            </w:r>
            <w:r>
              <w:rPr>
                <w:rFonts w:eastAsia="Times New Roman" w:cs="Times New Roman"/>
                <w:color w:val="00000A"/>
                <w:sz w:val="20"/>
                <w:szCs w:val="20"/>
                <w:lang w:val="en-US" w:eastAsia="ru-RU" w:bidi="ar-SA"/>
              </w:rPr>
              <w:t>а основании нормативных правовых актов, принятых в соответствии со статьей 14 Федерального закона №44-ФЗ</w:t>
              <w:br/>
              <w:t xml:space="preserve"> Непредставление документа, который предусмотрен п. 6 части 5 ст.66 Федерального закона от 05.04.2013 № 44-ФЗ «О контрактной системе в сфере закупок товаров, работ, услуг для обеспечения государственных и муниципальных нужд» , документа, подтверждающего соответствие участника аукциона и предлагаемого им товара, ограничениям, установленным заказчиком в соответствии с частью 3 статьи 14 вышеуказанного Федерального закона: Участник аукциона не предоставил декларацию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N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на объект закупки «Системный блок» по коду ОКПД2 26.20.15.000, «Ноутбук» по коду ОКПД2 26.20.11.110, «Компьютер персональный настольный (моноблок)» по коду ОКПД2 26.20.15.000, установленную Постановлением Правительства РФ от 30.04.2020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и пунктами 37 и 38 аукционной документации</w:t>
              <w:br/>
            </w:r>
          </w:p>
        </w:tc>
        <w:tc>
          <w:tcPr>
            <w:tcW w:w="275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rPr>
            </w:pPr>
            <w:r>
              <w:rPr>
                <w:sz w:val="20"/>
                <w:szCs w:val="20"/>
                <w:lang w:val="en-US"/>
              </w:rPr>
              <w:t>Мухина Елена Юрьевна</w:t>
            </w:r>
          </w:p>
        </w:tc>
        <w:tc>
          <w:tcPr>
            <w:tcW w:w="173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rPr>
            </w:pPr>
            <w:r>
              <w:rPr>
                <w:sz w:val="20"/>
                <w:szCs w:val="20"/>
                <w:lang w:val="en-US"/>
              </w:rPr>
              <w:t>Не соответствует</w:t>
            </w:r>
          </w:p>
        </w:tc>
      </w:tr>
      <w:tr>
        <w:trPr/>
        <w:tc>
          <w:tcPr>
            <w:tcW w:w="2551"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pPr>
            <w:r>
              <w:rPr>
                <w:sz w:val="20"/>
                <w:szCs w:val="20"/>
                <w:lang w:val="en-US"/>
              </w:rPr>
              <w:t>EA-119678</w:t>
            </w:r>
          </w:p>
          <w:p>
            <w:pPr>
              <w:pStyle w:val="Style23"/>
              <w:widowControl w:val="false"/>
              <w:rPr/>
            </w:pPr>
            <w:r>
              <w:rPr>
                <w:sz w:val="20"/>
                <w:szCs w:val="20"/>
                <w:lang w:val="en-US"/>
              </w:rPr>
              <w:t>ОБЩЕСТВО С ОГРАНИЧЕННОЙ ОТВЕТСТВЕННОСТЬЮ "КОМПЬЮТЕРЫ ЭЛСИ"</w:t>
            </w:r>
          </w:p>
        </w:tc>
        <w:tc>
          <w:tcPr>
            <w:tcW w:w="2937"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pPr>
            <w:r>
              <w:rPr>
                <w:rFonts w:eastAsia="Times New Roman" w:cs="Times New Roman"/>
                <w:color w:val="00000A"/>
                <w:sz w:val="20"/>
                <w:szCs w:val="20"/>
                <w:lang w:val="en-US" w:eastAsia="ru-RU" w:bidi="ar-SA"/>
              </w:rPr>
              <w:t>Не соответствует</w:t>
            </w:r>
          </w:p>
          <w:p>
            <w:pPr>
              <w:pStyle w:val="Style23"/>
              <w:widowControl w:val="false"/>
              <w:rPr>
                <w:rFonts w:eastAsia="Times New Roman" w:cs="Times New Roman"/>
                <w:color w:val="00000A"/>
                <w:sz w:val="20"/>
                <w:szCs w:val="20"/>
                <w:lang w:val="en-US" w:eastAsia="ru-RU" w:bidi="ar-SA"/>
              </w:rPr>
            </w:pPr>
            <w:r>
              <w:rPr>
                <w:rFonts w:eastAsia="Times New Roman" w:cs="Times New Roman"/>
                <w:color w:val="00000A"/>
                <w:sz w:val="20"/>
                <w:szCs w:val="20"/>
                <w:lang w:val="en-US" w:eastAsia="ru-RU" w:bidi="ar-SA"/>
              </w:rPr>
            </w:r>
          </w:p>
          <w:p>
            <w:pPr>
              <w:pStyle w:val="Style23"/>
              <w:widowControl w:val="false"/>
              <w:rPr/>
            </w:pPr>
            <w:r>
              <w:rPr>
                <w:rFonts w:eastAsia="Times New Roman" w:cs="Times New Roman"/>
                <w:color w:val="00000A"/>
                <w:sz w:val="20"/>
                <w:szCs w:val="20"/>
                <w:lang w:val="en-US" w:eastAsia="ru-RU" w:bidi="ar-SA"/>
              </w:rPr>
              <w:t>Обоснование:</w:t>
              <w:br/>
              <w:t>на основании нормативных правовых актов, принятых в соответствии со статьей 14 Федерального закона №44-ФЗ</w:t>
              <w:br/>
              <w:br/>
              <w:t>Комментарий: Непредставление документа, который предусмотрен п. 6 части 5 ст.66 Федерального закона от 05.04.2013 № 44-ФЗ «О контрактной системе в сфере закупок товаров, работ, услуг для обеспечения государственных и муниципальных нужд» , документа, подтверждающего соответствие участника аукциона и предлагаемого им товара, ограничениям, установленным заказчиком в соответствии с частью 3 статьи 14 вышеуказанного Федерального закона: Участник аукциона не предоставил декларацию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N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на объект закупки «Системный блок» по коду ОКПД2 26.20.15.000, «Ноутбук» по коду ОКПД2 26.20.11.110, «Компьютер персональный настольный (моноблок)» по коду ОКПД2 26.20.15.000, установленную Постановлением Правительства РФ от 30.04.2020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и пунктами 37 и 38 аукционной документации</w:t>
              <w:br/>
            </w:r>
          </w:p>
        </w:tc>
        <w:tc>
          <w:tcPr>
            <w:tcW w:w="275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rPr>
            </w:pPr>
            <w:r>
              <w:rPr>
                <w:sz w:val="20"/>
                <w:szCs w:val="20"/>
                <w:lang w:val="en-US"/>
              </w:rPr>
              <w:t>Гринев Денис Юрьевич</w:t>
            </w:r>
          </w:p>
        </w:tc>
        <w:tc>
          <w:tcPr>
            <w:tcW w:w="173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rPr>
            </w:pPr>
            <w:r>
              <w:rPr>
                <w:sz w:val="20"/>
                <w:szCs w:val="20"/>
                <w:lang w:val="en-US"/>
              </w:rPr>
              <w:t>Не соответствует</w:t>
            </w:r>
          </w:p>
        </w:tc>
      </w:tr>
      <w:tr>
        <w:trPr/>
        <w:tc>
          <w:tcPr>
            <w:tcW w:w="2551"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pPr>
            <w:r>
              <w:rPr>
                <w:sz w:val="20"/>
                <w:szCs w:val="20"/>
                <w:lang w:val="en-US"/>
              </w:rPr>
              <w:t>EA-119678</w:t>
            </w:r>
          </w:p>
          <w:p>
            <w:pPr>
              <w:pStyle w:val="Style23"/>
              <w:widowControl w:val="false"/>
              <w:rPr/>
            </w:pPr>
            <w:r>
              <w:rPr>
                <w:sz w:val="20"/>
                <w:szCs w:val="20"/>
                <w:lang w:val="en-US"/>
              </w:rPr>
              <w:t>ОБЩЕСТВО С ОГРАНИЧЕННОЙ ОТВЕТСТВЕННОСТЬЮ "КОМПЬЮТЕРЫ ЭЛСИ"</w:t>
            </w:r>
          </w:p>
        </w:tc>
        <w:tc>
          <w:tcPr>
            <w:tcW w:w="2937"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pPr>
            <w:r>
              <w:rPr>
                <w:rFonts w:eastAsia="Times New Roman" w:cs="Times New Roman"/>
                <w:color w:val="00000A"/>
                <w:sz w:val="20"/>
                <w:szCs w:val="20"/>
                <w:lang w:val="en-US" w:eastAsia="ru-RU" w:bidi="ar-SA"/>
              </w:rPr>
              <w:t>Не соответствует</w:t>
            </w:r>
          </w:p>
          <w:p>
            <w:pPr>
              <w:pStyle w:val="Style23"/>
              <w:widowControl w:val="false"/>
              <w:rPr>
                <w:rFonts w:eastAsia="Times New Roman" w:cs="Times New Roman"/>
                <w:color w:val="00000A"/>
                <w:sz w:val="20"/>
                <w:szCs w:val="20"/>
                <w:lang w:val="en-US" w:eastAsia="ru-RU" w:bidi="ar-SA"/>
              </w:rPr>
            </w:pPr>
            <w:r>
              <w:rPr>
                <w:rFonts w:eastAsia="Times New Roman" w:cs="Times New Roman"/>
                <w:color w:val="00000A"/>
                <w:sz w:val="20"/>
                <w:szCs w:val="20"/>
                <w:lang w:val="en-US" w:eastAsia="ru-RU" w:bidi="ar-SA"/>
              </w:rPr>
            </w:r>
          </w:p>
          <w:p>
            <w:pPr>
              <w:pStyle w:val="Style23"/>
              <w:widowControl w:val="false"/>
              <w:rPr/>
            </w:pPr>
            <w:r>
              <w:rPr>
                <w:rFonts w:eastAsia="Times New Roman" w:cs="Times New Roman"/>
                <w:color w:val="00000A"/>
                <w:sz w:val="20"/>
                <w:szCs w:val="20"/>
                <w:lang w:val="en-US" w:eastAsia="ru-RU" w:bidi="ar-SA"/>
              </w:rPr>
              <w:t>Обоснование:</w:t>
              <w:br/>
              <w:t>на основании нормативных правовых актов, принятых в соответствии со статьей 14 Федерального закона №44-ФЗ</w:t>
              <w:br/>
              <w:br/>
              <w:t>Комментарий: Непредставление документа, который предусмотрен п. 6 части 5 ст.66 Федерального закона от 05.04.2013 № 44-ФЗ «О контрактной системе в сфере закупок товаров, работ, услуг для обеспечения государственных и муниципальных нужд» , документа, подтверждающего соответствие участника аукциона и предлагаемого им товара, ограничениям, установленным заказчиком в соответствии с частью 3 статьи 14 вышеуказанного Федерального закона: Участник аукциона не предоставил декларацию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N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на объект закупки «Системный блок» по коду ОКПД2 26.20.15.000, «Ноутбук» по коду ОКПД2 26.20.11.110, «Компьютер персональный настольный (моноблок)» по коду ОКПД2 26.20.15.000, установленную Постановлением Правительства РФ от 30.04.2020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и пунктами 37 и 38 аукционной документации</w:t>
              <w:br/>
            </w:r>
          </w:p>
        </w:tc>
        <w:tc>
          <w:tcPr>
            <w:tcW w:w="275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rPr>
            </w:pPr>
            <w:r>
              <w:rPr>
                <w:sz w:val="20"/>
                <w:szCs w:val="20"/>
                <w:lang w:val="en-US"/>
              </w:rPr>
              <w:t>Лазарева Анастасия Александровна</w:t>
            </w:r>
          </w:p>
        </w:tc>
        <w:tc>
          <w:tcPr>
            <w:tcW w:w="173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rPr>
            </w:pPr>
            <w:r>
              <w:rPr>
                <w:sz w:val="20"/>
                <w:szCs w:val="20"/>
                <w:lang w:val="en-US"/>
              </w:rPr>
              <w:t>Не соответствует</w:t>
            </w:r>
          </w:p>
        </w:tc>
      </w:tr>
      <w:tr>
        <w:trPr/>
        <w:tc>
          <w:tcPr>
            <w:tcW w:w="2551"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pPr>
            <w:r>
              <w:rPr>
                <w:sz w:val="20"/>
                <w:szCs w:val="20"/>
                <w:lang w:val="en-US"/>
              </w:rPr>
              <w:t>EA-119678</w:t>
            </w:r>
          </w:p>
          <w:p>
            <w:pPr>
              <w:pStyle w:val="Style23"/>
              <w:widowControl w:val="false"/>
              <w:rPr/>
            </w:pPr>
            <w:r>
              <w:rPr>
                <w:sz w:val="20"/>
                <w:szCs w:val="20"/>
                <w:lang w:val="en-US"/>
              </w:rPr>
              <w:t>ОБЩЕСТВО С ОГРАНИЧЕННОЙ ОТВЕТСТВЕННОСТЬЮ "КОМПЬЮТЕРЫ ЭЛСИ"</w:t>
            </w:r>
          </w:p>
        </w:tc>
        <w:tc>
          <w:tcPr>
            <w:tcW w:w="2937"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pPr>
            <w:r>
              <w:rPr>
                <w:rFonts w:eastAsia="Times New Roman" w:cs="Times New Roman"/>
                <w:color w:val="00000A"/>
                <w:sz w:val="20"/>
                <w:szCs w:val="20"/>
                <w:lang w:val="en-US" w:eastAsia="ru-RU" w:bidi="ar-SA"/>
              </w:rPr>
              <w:t>Не соответствует</w:t>
            </w:r>
          </w:p>
          <w:p>
            <w:pPr>
              <w:pStyle w:val="Style23"/>
              <w:widowControl w:val="false"/>
              <w:rPr>
                <w:rFonts w:eastAsia="Times New Roman" w:cs="Times New Roman"/>
                <w:color w:val="00000A"/>
                <w:sz w:val="20"/>
                <w:szCs w:val="20"/>
                <w:lang w:val="en-US" w:eastAsia="ru-RU" w:bidi="ar-SA"/>
              </w:rPr>
            </w:pPr>
            <w:r>
              <w:rPr>
                <w:rFonts w:eastAsia="Times New Roman" w:cs="Times New Roman"/>
                <w:color w:val="00000A"/>
                <w:sz w:val="20"/>
                <w:szCs w:val="20"/>
                <w:lang w:val="en-US" w:eastAsia="ru-RU" w:bidi="ar-SA"/>
              </w:rPr>
            </w:r>
          </w:p>
          <w:p>
            <w:pPr>
              <w:pStyle w:val="Style23"/>
              <w:widowControl w:val="false"/>
              <w:rPr/>
            </w:pPr>
            <w:r>
              <w:rPr>
                <w:rFonts w:eastAsia="Times New Roman" w:cs="Times New Roman"/>
                <w:color w:val="00000A"/>
                <w:sz w:val="20"/>
                <w:szCs w:val="20"/>
                <w:lang w:val="en-US" w:eastAsia="ru-RU" w:bidi="ar-SA"/>
              </w:rPr>
              <w:t>Обоснование:</w:t>
              <w:br/>
              <w:t>на основании нормативных правовых актов, принятых в соответствии со статьей 14 Федерального закона №44-ФЗ</w:t>
              <w:br/>
              <w:br/>
              <w:t>Комментарий: Непредставление документа, который предусмотрен п. 6 части 5 ст.66 Федерального закона от 05.04.2013 № 44-ФЗ «О контрактной системе в сфере закупок товаров, работ, услуг для обеспечения государственных и муниципальных нужд» , документа, подтверждающего соответствие участника аукциона и предлагаемого им товара, ограничениям, установленным заказчиком в соответствии с частью 3 статьи 14 вышеуказанного Федерального закона: Участник аукциона не предоставил декларацию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N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на объект закупки «Системный блок» по коду ОКПД2 26.20.15.000, «Ноутбук» по коду ОКПД2 26.20.11.110, «Компьютер персональный настольный (моноблок)» по коду ОКПД2 26.20.15.000, установленную Постановлением Правительства РФ от 30.04.2020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и пунктами 37 и 38 аукционной документации</w:t>
              <w:br/>
            </w:r>
          </w:p>
        </w:tc>
        <w:tc>
          <w:tcPr>
            <w:tcW w:w="275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rPr>
            </w:pPr>
            <w:r>
              <w:rPr>
                <w:sz w:val="20"/>
                <w:szCs w:val="20"/>
                <w:lang w:val="en-US"/>
              </w:rPr>
              <w:t>Славкова Ирина Николаевна</w:t>
            </w:r>
          </w:p>
        </w:tc>
        <w:tc>
          <w:tcPr>
            <w:tcW w:w="173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rPr>
            </w:pPr>
            <w:r>
              <w:rPr>
                <w:sz w:val="20"/>
                <w:szCs w:val="20"/>
                <w:lang w:val="en-US"/>
              </w:rPr>
              <w:t>Не соответствует</w:t>
            </w:r>
          </w:p>
        </w:tc>
      </w:tr>
      <w:tr>
        <w:trPr/>
        <w:tc>
          <w:tcPr>
            <w:tcW w:w="2551"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pPr>
            <w:r>
              <w:rPr>
                <w:sz w:val="20"/>
                <w:szCs w:val="20"/>
                <w:lang w:val="en-US"/>
              </w:rPr>
              <w:t>EA-119678</w:t>
            </w:r>
          </w:p>
          <w:p>
            <w:pPr>
              <w:pStyle w:val="Style23"/>
              <w:widowControl w:val="false"/>
              <w:rPr/>
            </w:pPr>
            <w:r>
              <w:rPr>
                <w:sz w:val="20"/>
                <w:szCs w:val="20"/>
                <w:lang w:val="en-US"/>
              </w:rPr>
              <w:t>ОБЩЕСТВО С ОГРАНИЧЕННОЙ ОТВЕТСТВЕННОСТЬЮ "КОМПЬЮТЕРЫ ЭЛСИ"</w:t>
            </w:r>
          </w:p>
        </w:tc>
        <w:tc>
          <w:tcPr>
            <w:tcW w:w="2937"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pPr>
            <w:r>
              <w:rPr>
                <w:rFonts w:eastAsia="Times New Roman" w:cs="Times New Roman"/>
                <w:color w:val="00000A"/>
                <w:sz w:val="20"/>
                <w:szCs w:val="20"/>
                <w:lang w:val="en-US" w:eastAsia="ru-RU" w:bidi="ar-SA"/>
              </w:rPr>
              <w:t>Не соответствует</w:t>
            </w:r>
          </w:p>
          <w:p>
            <w:pPr>
              <w:pStyle w:val="Style23"/>
              <w:widowControl w:val="false"/>
              <w:rPr>
                <w:rFonts w:eastAsia="Times New Roman" w:cs="Times New Roman"/>
                <w:color w:val="00000A"/>
                <w:sz w:val="20"/>
                <w:szCs w:val="20"/>
                <w:lang w:val="en-US" w:eastAsia="ru-RU" w:bidi="ar-SA"/>
              </w:rPr>
            </w:pPr>
            <w:r>
              <w:rPr>
                <w:rFonts w:eastAsia="Times New Roman" w:cs="Times New Roman"/>
                <w:color w:val="00000A"/>
                <w:sz w:val="20"/>
                <w:szCs w:val="20"/>
                <w:lang w:val="en-US" w:eastAsia="ru-RU" w:bidi="ar-SA"/>
              </w:rPr>
            </w:r>
          </w:p>
          <w:p>
            <w:pPr>
              <w:pStyle w:val="Style23"/>
              <w:widowControl w:val="false"/>
              <w:rPr/>
            </w:pPr>
            <w:r>
              <w:rPr>
                <w:rFonts w:eastAsia="Times New Roman" w:cs="Times New Roman"/>
                <w:color w:val="00000A"/>
                <w:sz w:val="20"/>
                <w:szCs w:val="20"/>
                <w:lang w:val="en-US" w:eastAsia="ru-RU" w:bidi="ar-SA"/>
              </w:rPr>
              <w:t>Обоснование:</w:t>
              <w:br/>
              <w:t>на основании нормативных правовых актов, принятых в соответствии со статьей 14 Федерального закона №44-ФЗ</w:t>
              <w:br/>
              <w:br/>
              <w:t>Комментарий: Непредставление документа, который предусмотрен п. 6 части 5 ст.66 Федерального закона от 05.04.2013 № 44-ФЗ «О контрактной системе в сфере закупок товаров, работ, услуг для обеспечения государственных и муниципальных нужд» , документа, подтверждающего соответствие участника аукциона и предлагаемого им товара, ограничениям, установленным заказчиком в соответствии с частью 3 статьи 14 вышеуказанного Федерального закона: Участник аукциона не предоставил декларацию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N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на объект закупки «Системный блок» по коду ОКПД2 26.20.15.000, «Ноутбук» по коду ОКПД2 26.20.11.110, «Компьютер персональный настольный (моноблок)» по коду ОКПД2 26.20.15.000, установленную Постановлением Правительства РФ от 30.04.2020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и пунктами 37 и 38 аукционной документации</w:t>
              <w:br/>
            </w:r>
          </w:p>
        </w:tc>
        <w:tc>
          <w:tcPr>
            <w:tcW w:w="275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rPr>
            </w:pPr>
            <w:r>
              <w:rPr>
                <w:sz w:val="20"/>
                <w:szCs w:val="20"/>
                <w:lang w:val="en-US"/>
              </w:rPr>
              <w:t>Лыков Виталий Игоревич</w:t>
            </w:r>
          </w:p>
        </w:tc>
        <w:tc>
          <w:tcPr>
            <w:tcW w:w="173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rPr>
            </w:pPr>
            <w:r>
              <w:rPr>
                <w:sz w:val="20"/>
                <w:szCs w:val="20"/>
                <w:lang w:val="en-US"/>
              </w:rPr>
              <w:t>Не соответствует</w:t>
            </w:r>
          </w:p>
        </w:tc>
      </w:tr>
      <w:tr>
        <w:trPr/>
        <w:tc>
          <w:tcPr>
            <w:tcW w:w="2551" w:type="dxa"/>
            <w:vMerge w:val="restart"/>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pPr>
            <w:r>
              <w:rPr>
                <w:sz w:val="20"/>
                <w:szCs w:val="20"/>
                <w:lang w:val="en-US"/>
              </w:rPr>
              <w:t>EA-118505</w:t>
            </w:r>
          </w:p>
          <w:p>
            <w:pPr>
              <w:pStyle w:val="Style23"/>
              <w:widowControl w:val="false"/>
              <w:rPr/>
            </w:pPr>
            <w:r>
              <w:rPr>
                <w:sz w:val="20"/>
                <w:szCs w:val="20"/>
                <w:lang w:val="en-US"/>
              </w:rPr>
              <w:t>ДЕВАЕВА АННА ВЛАДИМИРОВНА</w:t>
            </w:r>
          </w:p>
        </w:tc>
        <w:tc>
          <w:tcPr>
            <w:tcW w:w="2937" w:type="dxa"/>
            <w:vMerge w:val="restart"/>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pPr>
            <w:r>
              <w:rPr>
                <w:rFonts w:eastAsia="Times New Roman" w:cs="Times New Roman"/>
                <w:color w:val="00000A"/>
                <w:sz w:val="20"/>
                <w:szCs w:val="20"/>
                <w:lang w:val="ru-RU" w:eastAsia="ru-RU" w:bidi="ar-SA"/>
              </w:rPr>
              <w:t>Н</w:t>
            </w:r>
            <w:r>
              <w:rPr>
                <w:rFonts w:eastAsia="Times New Roman" w:cs="Times New Roman"/>
                <w:color w:val="00000A"/>
                <w:sz w:val="20"/>
                <w:szCs w:val="20"/>
                <w:lang w:val="en-US" w:eastAsia="ru-RU" w:bidi="ar-SA"/>
              </w:rPr>
              <w:t>а основании нормативных правовых актов, принятых в соответствии со статьей 14 Федерального закона №44-ФЗ</w:t>
              <w:br/>
              <w:t xml:space="preserve"> Непредставление документа, который предусмотрен п. 6 части 5 ст.66 Федерального закона от 05.04.2013 № 44-ФЗ «О контрактной системе в сфере закупок товаров, работ, услуг для обеспечения государственных и муниципальных нужд» , документа, подтверждающего соответствие участника аукциона и предлагаемого им товара, ограничениям, установленным заказчиком в соответствии с частью 3 статьи 14 вышеуказанного Федерального закона: Участник аукциона не предоставил декларацию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N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на объект закупки «Системный блок» по коду ОКПД2 26.20.15.000, «Ноутбук» по коду ОКПД2 26.20.11.110, «Компьютер персональный настольный (моноблок)» по коду ОКПД2 26.20.15.000, установленную Постановлением Правительства РФ от 30.04.2020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и пунктами 37 и 38 аукционной документации</w:t>
              <w:br/>
            </w:r>
          </w:p>
        </w:tc>
        <w:tc>
          <w:tcPr>
            <w:tcW w:w="275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rPr>
            </w:pPr>
            <w:r>
              <w:rPr>
                <w:sz w:val="20"/>
                <w:szCs w:val="20"/>
                <w:lang w:val="en-US"/>
              </w:rPr>
              <w:t>Мухина Елена Юрьевна</w:t>
            </w:r>
          </w:p>
        </w:tc>
        <w:tc>
          <w:tcPr>
            <w:tcW w:w="173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rPr>
            </w:pPr>
            <w:r>
              <w:rPr>
                <w:sz w:val="20"/>
                <w:szCs w:val="20"/>
                <w:lang w:val="en-US"/>
              </w:rPr>
              <w:t>Не соответствует</w:t>
            </w:r>
          </w:p>
        </w:tc>
      </w:tr>
      <w:tr>
        <w:trPr/>
        <w:tc>
          <w:tcPr>
            <w:tcW w:w="2551"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pPr>
            <w:r>
              <w:rPr>
                <w:sz w:val="20"/>
                <w:szCs w:val="20"/>
                <w:lang w:val="en-US"/>
              </w:rPr>
              <w:t>EA-118505</w:t>
            </w:r>
          </w:p>
          <w:p>
            <w:pPr>
              <w:pStyle w:val="Style23"/>
              <w:widowControl w:val="false"/>
              <w:rPr/>
            </w:pPr>
            <w:r>
              <w:rPr>
                <w:sz w:val="20"/>
                <w:szCs w:val="20"/>
                <w:lang w:val="en-US"/>
              </w:rPr>
              <w:t>ДЕВАЕВА АННА ВЛАДИМИРОВНА</w:t>
            </w:r>
          </w:p>
        </w:tc>
        <w:tc>
          <w:tcPr>
            <w:tcW w:w="2937"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pPr>
            <w:r>
              <w:rPr>
                <w:rFonts w:eastAsia="Times New Roman" w:cs="Times New Roman"/>
                <w:color w:val="00000A"/>
                <w:sz w:val="20"/>
                <w:szCs w:val="20"/>
                <w:lang w:val="en-US" w:eastAsia="ru-RU" w:bidi="ar-SA"/>
              </w:rPr>
              <w:t>Не соответствует</w:t>
            </w:r>
          </w:p>
          <w:p>
            <w:pPr>
              <w:pStyle w:val="Style23"/>
              <w:widowControl w:val="false"/>
              <w:rPr>
                <w:rFonts w:eastAsia="Times New Roman" w:cs="Times New Roman"/>
                <w:color w:val="00000A"/>
                <w:sz w:val="20"/>
                <w:szCs w:val="20"/>
                <w:lang w:val="en-US" w:eastAsia="ru-RU" w:bidi="ar-SA"/>
              </w:rPr>
            </w:pPr>
            <w:r>
              <w:rPr>
                <w:rFonts w:eastAsia="Times New Roman" w:cs="Times New Roman"/>
                <w:color w:val="00000A"/>
                <w:sz w:val="20"/>
                <w:szCs w:val="20"/>
                <w:lang w:val="en-US" w:eastAsia="ru-RU" w:bidi="ar-SA"/>
              </w:rPr>
            </w:r>
          </w:p>
          <w:p>
            <w:pPr>
              <w:pStyle w:val="Style23"/>
              <w:widowControl w:val="false"/>
              <w:rPr/>
            </w:pPr>
            <w:r>
              <w:rPr>
                <w:rFonts w:eastAsia="Times New Roman" w:cs="Times New Roman"/>
                <w:color w:val="00000A"/>
                <w:sz w:val="20"/>
                <w:szCs w:val="20"/>
                <w:lang w:val="en-US" w:eastAsia="ru-RU" w:bidi="ar-SA"/>
              </w:rPr>
              <w:t>Обоснование:</w:t>
              <w:br/>
              <w:t>на основании нормативных правовых актов, принятых в соответствии со статьей 14 Федерального закона №44-ФЗ</w:t>
              <w:br/>
              <w:br/>
              <w:t>Комментарий: Непредставление документа, который предусмотрен п. 6 части 5 ст.66 Федерального закона от 05.04.2013 № 44-ФЗ «О контрактной системе в сфере закупок товаров, работ, услуг для обеспечения государственных и муниципальных нужд» , документа, подтверждающего соответствие участника аукциона и предлагаемого им товара, ограничениям, установленным заказчиком в соответствии с частью 3 статьи 14 вышеуказанного Федерального закона: Участник аукциона не предоставил декларацию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N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на объект закупки «Системный блок» по коду ОКПД2 26.20.15.000, «Ноутбук» по коду ОКПД2 26.20.11.110, «Компьютер персональный настольный (моноблок)» по коду ОКПД2 26.20.15.000, установленную Постановлением Правительства РФ от 30.04.2020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и пунктами 37 и 38 аукционной документации</w:t>
              <w:br/>
            </w:r>
          </w:p>
        </w:tc>
        <w:tc>
          <w:tcPr>
            <w:tcW w:w="275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rPr>
            </w:pPr>
            <w:r>
              <w:rPr>
                <w:sz w:val="20"/>
                <w:szCs w:val="20"/>
                <w:lang w:val="en-US"/>
              </w:rPr>
              <w:t>Гринев Денис Юрьевич</w:t>
            </w:r>
          </w:p>
        </w:tc>
        <w:tc>
          <w:tcPr>
            <w:tcW w:w="173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rPr>
            </w:pPr>
            <w:r>
              <w:rPr>
                <w:sz w:val="20"/>
                <w:szCs w:val="20"/>
                <w:lang w:val="en-US"/>
              </w:rPr>
              <w:t>Не соответствует</w:t>
            </w:r>
          </w:p>
        </w:tc>
      </w:tr>
      <w:tr>
        <w:trPr/>
        <w:tc>
          <w:tcPr>
            <w:tcW w:w="2551"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pPr>
            <w:r>
              <w:rPr>
                <w:sz w:val="20"/>
                <w:szCs w:val="20"/>
                <w:lang w:val="en-US"/>
              </w:rPr>
              <w:t>EA-118505</w:t>
            </w:r>
          </w:p>
          <w:p>
            <w:pPr>
              <w:pStyle w:val="Style23"/>
              <w:widowControl w:val="false"/>
              <w:rPr/>
            </w:pPr>
            <w:r>
              <w:rPr>
                <w:sz w:val="20"/>
                <w:szCs w:val="20"/>
                <w:lang w:val="en-US"/>
              </w:rPr>
              <w:t>ДЕВАЕВА АННА ВЛАДИМИРОВНА</w:t>
            </w:r>
          </w:p>
        </w:tc>
        <w:tc>
          <w:tcPr>
            <w:tcW w:w="2937"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pPr>
            <w:r>
              <w:rPr>
                <w:rFonts w:eastAsia="Times New Roman" w:cs="Times New Roman"/>
                <w:color w:val="00000A"/>
                <w:sz w:val="20"/>
                <w:szCs w:val="20"/>
                <w:lang w:val="en-US" w:eastAsia="ru-RU" w:bidi="ar-SA"/>
              </w:rPr>
              <w:t>Не соответствует</w:t>
            </w:r>
          </w:p>
          <w:p>
            <w:pPr>
              <w:pStyle w:val="Style23"/>
              <w:widowControl w:val="false"/>
              <w:rPr>
                <w:rFonts w:eastAsia="Times New Roman" w:cs="Times New Roman"/>
                <w:color w:val="00000A"/>
                <w:sz w:val="20"/>
                <w:szCs w:val="20"/>
                <w:lang w:val="en-US" w:eastAsia="ru-RU" w:bidi="ar-SA"/>
              </w:rPr>
            </w:pPr>
            <w:r>
              <w:rPr>
                <w:rFonts w:eastAsia="Times New Roman" w:cs="Times New Roman"/>
                <w:color w:val="00000A"/>
                <w:sz w:val="20"/>
                <w:szCs w:val="20"/>
                <w:lang w:val="en-US" w:eastAsia="ru-RU" w:bidi="ar-SA"/>
              </w:rPr>
            </w:r>
          </w:p>
          <w:p>
            <w:pPr>
              <w:pStyle w:val="Style23"/>
              <w:widowControl w:val="false"/>
              <w:rPr/>
            </w:pPr>
            <w:r>
              <w:rPr>
                <w:rFonts w:eastAsia="Times New Roman" w:cs="Times New Roman"/>
                <w:color w:val="00000A"/>
                <w:sz w:val="20"/>
                <w:szCs w:val="20"/>
                <w:lang w:val="en-US" w:eastAsia="ru-RU" w:bidi="ar-SA"/>
              </w:rPr>
              <w:t>Обоснование:</w:t>
              <w:br/>
              <w:t>на основании нормативных правовых актов, принятых в соответствии со статьей 14 Федерального закона №44-ФЗ</w:t>
              <w:br/>
              <w:br/>
              <w:t>Комментарий: Непредставление документа, который предусмотрен п. 6 части 5 ст.66 Федерального закона от 05.04.2013 № 44-ФЗ «О контрактной системе в сфере закупок товаров, работ, услуг для обеспечения государственных и муниципальных нужд» , документа, подтверждающего соответствие участника аукциона и предлагаемого им товара, ограничениям, установленным заказчиком в соответствии с частью 3 статьи 14 вышеуказанного Федерального закона: Участник аукциона не предоставил декларацию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N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на объект закупки «Системный блок» по коду ОКПД2 26.20.15.000, «Ноутбук» по коду ОКПД2 26.20.11.110, «Компьютер персональный настольный (моноблок)» по коду ОКПД2 26.20.15.000, установленную Постановлением Правительства РФ от 30.04.2020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и пунктами 37 и 38 аукционной документации</w:t>
              <w:br/>
            </w:r>
          </w:p>
        </w:tc>
        <w:tc>
          <w:tcPr>
            <w:tcW w:w="275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rPr>
            </w:pPr>
            <w:r>
              <w:rPr>
                <w:sz w:val="20"/>
                <w:szCs w:val="20"/>
                <w:lang w:val="en-US"/>
              </w:rPr>
              <w:t>Лазарева Анастасия Александровна</w:t>
            </w:r>
          </w:p>
        </w:tc>
        <w:tc>
          <w:tcPr>
            <w:tcW w:w="173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rPr>
            </w:pPr>
            <w:r>
              <w:rPr>
                <w:sz w:val="20"/>
                <w:szCs w:val="20"/>
                <w:lang w:val="en-US"/>
              </w:rPr>
              <w:t>Не соответствует</w:t>
            </w:r>
          </w:p>
        </w:tc>
      </w:tr>
      <w:tr>
        <w:trPr/>
        <w:tc>
          <w:tcPr>
            <w:tcW w:w="2551"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pPr>
            <w:r>
              <w:rPr>
                <w:sz w:val="20"/>
                <w:szCs w:val="20"/>
                <w:lang w:val="en-US"/>
              </w:rPr>
              <w:t>EA-118505</w:t>
            </w:r>
          </w:p>
          <w:p>
            <w:pPr>
              <w:pStyle w:val="Style23"/>
              <w:widowControl w:val="false"/>
              <w:rPr/>
            </w:pPr>
            <w:r>
              <w:rPr>
                <w:sz w:val="20"/>
                <w:szCs w:val="20"/>
                <w:lang w:val="en-US"/>
              </w:rPr>
              <w:t>ДЕВАЕВА АННА ВЛАДИМИРОВНА</w:t>
            </w:r>
          </w:p>
        </w:tc>
        <w:tc>
          <w:tcPr>
            <w:tcW w:w="2937"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pPr>
            <w:r>
              <w:rPr>
                <w:rFonts w:eastAsia="Times New Roman" w:cs="Times New Roman"/>
                <w:color w:val="00000A"/>
                <w:sz w:val="20"/>
                <w:szCs w:val="20"/>
                <w:lang w:val="en-US" w:eastAsia="ru-RU" w:bidi="ar-SA"/>
              </w:rPr>
              <w:t>Не соответствует</w:t>
            </w:r>
          </w:p>
          <w:p>
            <w:pPr>
              <w:pStyle w:val="Style23"/>
              <w:widowControl w:val="false"/>
              <w:rPr>
                <w:rFonts w:eastAsia="Times New Roman" w:cs="Times New Roman"/>
                <w:color w:val="00000A"/>
                <w:sz w:val="20"/>
                <w:szCs w:val="20"/>
                <w:lang w:val="en-US" w:eastAsia="ru-RU" w:bidi="ar-SA"/>
              </w:rPr>
            </w:pPr>
            <w:r>
              <w:rPr>
                <w:rFonts w:eastAsia="Times New Roman" w:cs="Times New Roman"/>
                <w:color w:val="00000A"/>
                <w:sz w:val="20"/>
                <w:szCs w:val="20"/>
                <w:lang w:val="en-US" w:eastAsia="ru-RU" w:bidi="ar-SA"/>
              </w:rPr>
            </w:r>
          </w:p>
          <w:p>
            <w:pPr>
              <w:pStyle w:val="Style23"/>
              <w:widowControl w:val="false"/>
              <w:rPr/>
            </w:pPr>
            <w:r>
              <w:rPr>
                <w:rFonts w:eastAsia="Times New Roman" w:cs="Times New Roman"/>
                <w:color w:val="00000A"/>
                <w:sz w:val="20"/>
                <w:szCs w:val="20"/>
                <w:lang w:val="en-US" w:eastAsia="ru-RU" w:bidi="ar-SA"/>
              </w:rPr>
              <w:t>Обоснование:</w:t>
              <w:br/>
              <w:t>на основании нормативных правовых актов, принятых в соответствии со статьей 14 Федерального закона №44-ФЗ</w:t>
              <w:br/>
              <w:br/>
              <w:t>Комментарий: Непредставление документа, который предусмотрен п. 6 части 5 ст.66 Федерального закона от 05.04.2013 № 44-ФЗ «О контрактной системе в сфере закупок товаров, работ, услуг для обеспечения государственных и муниципальных нужд» , документа, подтверждающего соответствие участника аукциона и предлагаемого им товара, ограничениям, установленным заказчиком в соответствии с частью 3 статьи 14 вышеуказанного Федерального закона: Участник аукциона не предоставил декларацию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N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на объект закупки «Системный блок» по коду ОКПД2 26.20.15.000, «Ноутбук» по коду ОКПД2 26.20.11.110, «Компьютер персональный настольный (моноблок)» по коду ОКПД2 26.20.15.000, установленную Постановлением Правительства РФ от 30.04.2020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и пунктами 37 и 38 аукционной документации</w:t>
              <w:br/>
            </w:r>
          </w:p>
        </w:tc>
        <w:tc>
          <w:tcPr>
            <w:tcW w:w="275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rPr>
            </w:pPr>
            <w:r>
              <w:rPr>
                <w:sz w:val="20"/>
                <w:szCs w:val="20"/>
                <w:lang w:val="en-US"/>
              </w:rPr>
              <w:t>Славкова Ирина Николаевна</w:t>
            </w:r>
          </w:p>
        </w:tc>
        <w:tc>
          <w:tcPr>
            <w:tcW w:w="173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rPr>
            </w:pPr>
            <w:r>
              <w:rPr>
                <w:sz w:val="20"/>
                <w:szCs w:val="20"/>
                <w:lang w:val="en-US"/>
              </w:rPr>
              <w:t>Не соответствует</w:t>
            </w:r>
          </w:p>
        </w:tc>
      </w:tr>
      <w:tr>
        <w:trPr/>
        <w:tc>
          <w:tcPr>
            <w:tcW w:w="2551"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pPr>
            <w:r>
              <w:rPr>
                <w:sz w:val="20"/>
                <w:szCs w:val="20"/>
                <w:lang w:val="en-US"/>
              </w:rPr>
              <w:t>EA-118505</w:t>
            </w:r>
          </w:p>
          <w:p>
            <w:pPr>
              <w:pStyle w:val="Style23"/>
              <w:widowControl w:val="false"/>
              <w:rPr/>
            </w:pPr>
            <w:r>
              <w:rPr>
                <w:sz w:val="20"/>
                <w:szCs w:val="20"/>
                <w:lang w:val="en-US"/>
              </w:rPr>
              <w:t>ДЕВАЕВА АННА ВЛАДИМИРОВНА</w:t>
            </w:r>
          </w:p>
        </w:tc>
        <w:tc>
          <w:tcPr>
            <w:tcW w:w="2937"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pPr>
            <w:r>
              <w:rPr>
                <w:rFonts w:eastAsia="Times New Roman" w:cs="Times New Roman"/>
                <w:color w:val="00000A"/>
                <w:sz w:val="20"/>
                <w:szCs w:val="20"/>
                <w:lang w:val="en-US" w:eastAsia="ru-RU" w:bidi="ar-SA"/>
              </w:rPr>
              <w:t>Не соответствует</w:t>
            </w:r>
          </w:p>
          <w:p>
            <w:pPr>
              <w:pStyle w:val="Style23"/>
              <w:widowControl w:val="false"/>
              <w:rPr>
                <w:rFonts w:eastAsia="Times New Roman" w:cs="Times New Roman"/>
                <w:color w:val="00000A"/>
                <w:sz w:val="20"/>
                <w:szCs w:val="20"/>
                <w:lang w:val="en-US" w:eastAsia="ru-RU" w:bidi="ar-SA"/>
              </w:rPr>
            </w:pPr>
            <w:r>
              <w:rPr>
                <w:rFonts w:eastAsia="Times New Roman" w:cs="Times New Roman"/>
                <w:color w:val="00000A"/>
                <w:sz w:val="20"/>
                <w:szCs w:val="20"/>
                <w:lang w:val="en-US" w:eastAsia="ru-RU" w:bidi="ar-SA"/>
              </w:rPr>
            </w:r>
          </w:p>
          <w:p>
            <w:pPr>
              <w:pStyle w:val="Style23"/>
              <w:widowControl w:val="false"/>
              <w:rPr/>
            </w:pPr>
            <w:r>
              <w:rPr>
                <w:rFonts w:eastAsia="Times New Roman" w:cs="Times New Roman"/>
                <w:color w:val="00000A"/>
                <w:sz w:val="20"/>
                <w:szCs w:val="20"/>
                <w:lang w:val="en-US" w:eastAsia="ru-RU" w:bidi="ar-SA"/>
              </w:rPr>
              <w:t>Обоснование:</w:t>
              <w:br/>
              <w:t>на основании нормативных правовых актов, принятых в соответствии со статьей 14 Федерального закона №44-ФЗ</w:t>
              <w:br/>
              <w:br/>
              <w:t>Комментарий: Непредставление документа, который предусмотрен п. 6 части 5 ст.66 Федерального закона от 05.04.2013 № 44-ФЗ «О контрактной системе в сфере закупок товаров, работ, услуг для обеспечения государственных и муниципальных нужд» , документа, подтверждающего соответствие участника аукциона и предлагаемого им товара, ограничениям, установленным заказчиком в соответствии с частью 3 статьи 14 вышеуказанного Федерального закона: Участник аукциона не предоставил декларацию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N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на объект закупки «Системный блок» по коду ОКПД2 26.20.15.000, «Ноутбук» по коду ОКПД2 26.20.11.110, «Компьютер персональный настольный (моноблок)» по коду ОКПД2 26.20.15.000, установленную Постановлением Правительства РФ от 30.04.2020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и пунктами 37 и 38 аукционной документации</w:t>
              <w:br/>
            </w:r>
          </w:p>
        </w:tc>
        <w:tc>
          <w:tcPr>
            <w:tcW w:w="275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rPr>
            </w:pPr>
            <w:r>
              <w:rPr>
                <w:sz w:val="20"/>
                <w:szCs w:val="20"/>
                <w:lang w:val="en-US"/>
              </w:rPr>
              <w:t>Лыков Виталий Игоревич</w:t>
            </w:r>
          </w:p>
        </w:tc>
        <w:tc>
          <w:tcPr>
            <w:tcW w:w="173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rPr>
            </w:pPr>
            <w:r>
              <w:rPr>
                <w:sz w:val="20"/>
                <w:szCs w:val="20"/>
                <w:lang w:val="en-US"/>
              </w:rPr>
              <w:t>Не соответствует</w:t>
            </w:r>
          </w:p>
        </w:tc>
      </w:tr>
    </w:tbl>
    <w:p>
      <w:pPr>
        <w:pStyle w:val="Normal"/>
        <w:rPr>
          <w:sz w:val="20"/>
          <w:szCs w:val="20"/>
        </w:rPr>
      </w:pPr>
      <w:r>
        <w:rPr>
          <w:sz w:val="20"/>
          <w:szCs w:val="20"/>
        </w:rPr>
      </w:r>
    </w:p>
    <w:p>
      <w:pPr>
        <w:pStyle w:val="Normal"/>
        <w:jc w:val="both"/>
        <w:rPr>
          <w:rFonts w:eastAsia="Times New Roman"/>
          <w:sz w:val="20"/>
          <w:szCs w:val="20"/>
          <w:lang w:val="en-US"/>
        </w:rPr>
      </w:pPr>
      <w:r>
        <w:rPr>
          <w:rFonts w:eastAsia="Times New Roman"/>
          <w:sz w:val="20"/>
          <w:szCs w:val="20"/>
          <w:lang w:val="en-US"/>
        </w:rPr>
      </w:r>
    </w:p>
    <w:p>
      <w:pPr>
        <w:pStyle w:val="Normal"/>
        <w:jc w:val="both"/>
        <w:rPr>
          <w:lang w:val="en-US"/>
        </w:rPr>
      </w:pPr>
      <w:r>
        <w:rPr>
          <w:rFonts w:eastAsia="Times New Roman"/>
          <w:sz w:val="20"/>
          <w:szCs w:val="20"/>
          <w:lang w:val="en-US"/>
        </w:rPr>
        <w:t>Электронный аукцион признан не состоявшимся в соответствии с частью 13 статьи 69 Федеральный закон от 05.04.2013 № 44-ФЗ «О контрактной системе в сфере закупок товаров, работ, услуг для обеспечения государственных и муниципальных нужд». Причина признания электронного аукциона не состоявшимся: аукционная комиссия приняла решение о несоответствии требованиям, установленным документацией об электронном аукционе, всех вторых частей заявок на участие в нем.</w:t>
      </w:r>
    </w:p>
    <w:p>
      <w:pPr>
        <w:pStyle w:val="Normal"/>
        <w:jc w:val="both"/>
        <w:rPr>
          <w:rFonts w:eastAsia="Times New Roman"/>
          <w:sz w:val="20"/>
          <w:szCs w:val="20"/>
        </w:rPr>
      </w:pPr>
      <w:r>
        <w:rPr>
          <w:rFonts w:eastAsia="Times New Roman"/>
          <w:sz w:val="20"/>
          <w:szCs w:val="20"/>
        </w:rPr>
      </w:r>
    </w:p>
    <w:p>
      <w:pPr>
        <w:pStyle w:val="Normal"/>
        <w:jc w:val="both"/>
        <w:rPr/>
      </w:pPr>
      <w:r>
        <w:rPr>
          <w:rFonts w:eastAsia="Times New Roman"/>
          <w:sz w:val="20"/>
          <w:szCs w:val="20"/>
        </w:rPr>
        <w:t>Настоящий протокол подлежит размещению в единой информационной системе в сфере закупок в порядке и в сроки, установленные Федеральным законом от 05.04.2013 №44-ФЗ «О контрактной системе в сфере закупок товаров, работ, услуг для обеспечения государственных и муниципальных нужд».</w:t>
      </w:r>
    </w:p>
    <w:p>
      <w:pPr>
        <w:pStyle w:val="Normal"/>
        <w:jc w:val="both"/>
        <w:rPr>
          <w:rFonts w:eastAsia="Times New Roman"/>
          <w:sz w:val="20"/>
          <w:szCs w:val="20"/>
        </w:rPr>
      </w:pPr>
      <w:r>
        <w:rPr>
          <w:rFonts w:eastAsia="Times New Roman"/>
          <w:sz w:val="20"/>
          <w:szCs w:val="20"/>
        </w:rPr>
      </w:r>
    </w:p>
    <w:p>
      <w:pPr>
        <w:pStyle w:val="Normal"/>
        <w:rPr/>
      </w:pPr>
      <w:r>
        <w:rPr>
          <w:rFonts w:eastAsia="Times New Roman"/>
          <w:sz w:val="20"/>
          <w:szCs w:val="20"/>
        </w:rPr>
        <w:t>Подписи</w:t>
      </w:r>
    </w:p>
    <w:p>
      <w:pPr>
        <w:pStyle w:val="Normal"/>
        <w:rPr>
          <w:rFonts w:eastAsia="Times New Roman"/>
          <w:sz w:val="20"/>
          <w:szCs w:val="20"/>
        </w:rPr>
      </w:pPr>
      <w:r>
        <w:rPr>
          <w:rFonts w:eastAsia="Times New Roman"/>
          <w:sz w:val="20"/>
          <w:szCs w:val="20"/>
        </w:rPr>
      </w:r>
    </w:p>
    <w:tbl>
      <w:tblPr>
        <w:tblW w:w="9922" w:type="dxa"/>
        <w:jc w:val="left"/>
        <w:tblInd w:w="-55" w:type="dxa"/>
        <w:tblLayout w:type="fixed"/>
        <w:tblCellMar>
          <w:top w:w="55" w:type="dxa"/>
          <w:left w:w="55" w:type="dxa"/>
          <w:bottom w:w="55" w:type="dxa"/>
          <w:right w:w="55" w:type="dxa"/>
        </w:tblCellMar>
        <w:tblLook w:firstRow="1" w:noVBand="1" w:lastRow="0" w:firstColumn="1" w:lastColumn="0" w:noHBand="0" w:val="04a0"/>
      </w:tblPr>
      <w:tblGrid>
        <w:gridCol w:w="3307"/>
        <w:gridCol w:w="3301"/>
        <w:gridCol w:w="3314"/>
      </w:tblGrid>
      <w:tr>
        <w:trPr/>
        <w:tc>
          <w:tcPr>
            <w:tcW w:w="3307" w:type="dxa"/>
            <w:tcBorders/>
            <w:shd w:color="auto" w:fill="auto" w:val="clear"/>
            <w:vAlign w:val="bottom"/>
          </w:tcPr>
          <w:p>
            <w:pPr>
              <w:pStyle w:val="Style23"/>
              <w:widowControl w:val="false"/>
              <w:rPr/>
            </w:pPr>
            <w:r>
              <w:rPr>
                <w:rFonts w:eastAsia="Times New Roman"/>
                <w:sz w:val="20"/>
                <w:szCs w:val="20"/>
                <w:lang w:val="en-US"/>
              </w:rPr>
              <w:t>Председатель комиссии</w:t>
            </w:r>
          </w:p>
        </w:tc>
        <w:tc>
          <w:tcPr>
            <w:tcW w:w="3301" w:type="dxa"/>
            <w:tcBorders/>
            <w:shd w:color="auto" w:fill="auto" w:val="clear"/>
          </w:tcPr>
          <w:p>
            <w:pPr>
              <w:pStyle w:val="Style23"/>
              <w:widowControl w:val="false"/>
              <w:pBdr>
                <w:bottom w:val="single" w:sz="8" w:space="2" w:color="000001"/>
              </w:pBdr>
              <w:rPr>
                <w:sz w:val="20"/>
                <w:szCs w:val="20"/>
                <w:lang w:val="en-US"/>
              </w:rPr>
            </w:pPr>
            <w:r>
              <w:rPr>
                <w:sz w:val="20"/>
                <w:szCs w:val="20"/>
                <w:lang w:val="en-US"/>
              </w:rPr>
            </w:r>
          </w:p>
        </w:tc>
        <w:tc>
          <w:tcPr>
            <w:tcW w:w="3314" w:type="dxa"/>
            <w:tcBorders/>
            <w:shd w:color="auto" w:fill="auto" w:val="clear"/>
            <w:vAlign w:val="bottom"/>
          </w:tcPr>
          <w:p>
            <w:pPr>
              <w:pStyle w:val="Style23"/>
              <w:widowControl w:val="false"/>
              <w:rPr/>
            </w:pPr>
            <w:r>
              <w:rPr>
                <w:sz w:val="20"/>
                <w:szCs w:val="20"/>
                <w:lang w:val="en-US"/>
              </w:rPr>
              <w:t>Мухина Елена Юрьевна</w:t>
            </w:r>
          </w:p>
        </w:tc>
      </w:tr>
      <w:tr>
        <w:trPr/>
        <w:tc>
          <w:tcPr>
            <w:tcW w:w="3307" w:type="dxa"/>
            <w:tcBorders/>
            <w:shd w:color="auto" w:fill="auto" w:val="clear"/>
            <w:vAlign w:val="bottom"/>
          </w:tcPr>
          <w:p>
            <w:pPr>
              <w:pStyle w:val="Style23"/>
              <w:widowControl w:val="false"/>
              <w:rPr/>
            </w:pPr>
            <w:r>
              <w:rPr>
                <w:rFonts w:eastAsia="Times New Roman"/>
                <w:sz w:val="20"/>
                <w:szCs w:val="20"/>
                <w:lang w:val="en-US"/>
              </w:rPr>
              <w:t>Зам. председателя комиссии</w:t>
            </w:r>
          </w:p>
        </w:tc>
        <w:tc>
          <w:tcPr>
            <w:tcW w:w="3301" w:type="dxa"/>
            <w:tcBorders/>
            <w:shd w:color="auto" w:fill="auto" w:val="clear"/>
          </w:tcPr>
          <w:p>
            <w:pPr>
              <w:pStyle w:val="Style23"/>
              <w:widowControl w:val="false"/>
              <w:pBdr>
                <w:bottom w:val="single" w:sz="8" w:space="2" w:color="000001"/>
              </w:pBdr>
              <w:rPr>
                <w:sz w:val="20"/>
                <w:szCs w:val="20"/>
                <w:lang w:val="en-US"/>
              </w:rPr>
            </w:pPr>
            <w:r>
              <w:rPr>
                <w:sz w:val="20"/>
                <w:szCs w:val="20"/>
                <w:lang w:val="en-US"/>
              </w:rPr>
            </w:r>
          </w:p>
        </w:tc>
        <w:tc>
          <w:tcPr>
            <w:tcW w:w="3314" w:type="dxa"/>
            <w:tcBorders/>
            <w:shd w:color="auto" w:fill="auto" w:val="clear"/>
            <w:vAlign w:val="bottom"/>
          </w:tcPr>
          <w:p>
            <w:pPr>
              <w:pStyle w:val="Style23"/>
              <w:widowControl w:val="false"/>
              <w:rPr/>
            </w:pPr>
            <w:r>
              <w:rPr>
                <w:sz w:val="20"/>
                <w:szCs w:val="20"/>
                <w:lang w:val="en-US"/>
              </w:rPr>
              <w:t>Гринев Денис Юрьевич</w:t>
            </w:r>
          </w:p>
        </w:tc>
      </w:tr>
      <w:tr>
        <w:trPr/>
        <w:tc>
          <w:tcPr>
            <w:tcW w:w="3307" w:type="dxa"/>
            <w:tcBorders/>
            <w:shd w:color="auto" w:fill="auto" w:val="clear"/>
            <w:vAlign w:val="bottom"/>
          </w:tcPr>
          <w:p>
            <w:pPr>
              <w:pStyle w:val="Style23"/>
              <w:widowControl w:val="false"/>
              <w:rPr/>
            </w:pPr>
            <w:r>
              <w:rPr>
                <w:rFonts w:eastAsia="Times New Roman"/>
                <w:sz w:val="20"/>
                <w:szCs w:val="20"/>
                <w:lang w:val="en-US"/>
              </w:rPr>
              <w:t>Член комиссии</w:t>
            </w:r>
          </w:p>
        </w:tc>
        <w:tc>
          <w:tcPr>
            <w:tcW w:w="3301" w:type="dxa"/>
            <w:tcBorders/>
            <w:shd w:color="auto" w:fill="auto" w:val="clear"/>
          </w:tcPr>
          <w:p>
            <w:pPr>
              <w:pStyle w:val="Style23"/>
              <w:widowControl w:val="false"/>
              <w:pBdr>
                <w:bottom w:val="single" w:sz="8" w:space="2" w:color="000001"/>
              </w:pBdr>
              <w:rPr>
                <w:sz w:val="20"/>
                <w:szCs w:val="20"/>
                <w:lang w:val="en-US"/>
              </w:rPr>
            </w:pPr>
            <w:r>
              <w:rPr>
                <w:sz w:val="20"/>
                <w:szCs w:val="20"/>
                <w:lang w:val="en-US"/>
              </w:rPr>
            </w:r>
          </w:p>
        </w:tc>
        <w:tc>
          <w:tcPr>
            <w:tcW w:w="3314" w:type="dxa"/>
            <w:tcBorders/>
            <w:shd w:color="auto" w:fill="auto" w:val="clear"/>
            <w:vAlign w:val="bottom"/>
          </w:tcPr>
          <w:p>
            <w:pPr>
              <w:pStyle w:val="Style23"/>
              <w:widowControl w:val="false"/>
              <w:rPr/>
            </w:pPr>
            <w:r>
              <w:rPr>
                <w:sz w:val="20"/>
                <w:szCs w:val="20"/>
                <w:lang w:val="en-US"/>
              </w:rPr>
              <w:t>Лазарева Анастасия Александровна</w:t>
            </w:r>
          </w:p>
        </w:tc>
      </w:tr>
      <w:tr>
        <w:trPr/>
        <w:tc>
          <w:tcPr>
            <w:tcW w:w="3307" w:type="dxa"/>
            <w:tcBorders/>
            <w:shd w:color="auto" w:fill="auto" w:val="clear"/>
            <w:vAlign w:val="bottom"/>
          </w:tcPr>
          <w:p>
            <w:pPr>
              <w:pStyle w:val="Style23"/>
              <w:widowControl w:val="false"/>
              <w:rPr/>
            </w:pPr>
            <w:r>
              <w:rPr>
                <w:rFonts w:eastAsia="Times New Roman"/>
                <w:sz w:val="20"/>
                <w:szCs w:val="20"/>
                <w:lang w:val="en-US"/>
              </w:rPr>
              <w:t>Член комиссии</w:t>
            </w:r>
          </w:p>
        </w:tc>
        <w:tc>
          <w:tcPr>
            <w:tcW w:w="3301" w:type="dxa"/>
            <w:tcBorders/>
            <w:shd w:color="auto" w:fill="auto" w:val="clear"/>
          </w:tcPr>
          <w:p>
            <w:pPr>
              <w:pStyle w:val="Style23"/>
              <w:widowControl w:val="false"/>
              <w:pBdr>
                <w:bottom w:val="single" w:sz="8" w:space="2" w:color="000001"/>
              </w:pBdr>
              <w:rPr>
                <w:sz w:val="20"/>
                <w:szCs w:val="20"/>
                <w:lang w:val="en-US"/>
              </w:rPr>
            </w:pPr>
            <w:r>
              <w:rPr>
                <w:sz w:val="20"/>
                <w:szCs w:val="20"/>
                <w:lang w:val="en-US"/>
              </w:rPr>
            </w:r>
          </w:p>
        </w:tc>
        <w:tc>
          <w:tcPr>
            <w:tcW w:w="3314" w:type="dxa"/>
            <w:tcBorders/>
            <w:shd w:color="auto" w:fill="auto" w:val="clear"/>
            <w:vAlign w:val="bottom"/>
          </w:tcPr>
          <w:p>
            <w:pPr>
              <w:pStyle w:val="Style23"/>
              <w:widowControl w:val="false"/>
              <w:rPr/>
            </w:pPr>
            <w:r>
              <w:rPr>
                <w:sz w:val="20"/>
                <w:szCs w:val="20"/>
                <w:lang w:val="en-US"/>
              </w:rPr>
              <w:t>Славкова Ирина Николаевна</w:t>
            </w:r>
          </w:p>
        </w:tc>
      </w:tr>
      <w:tr>
        <w:trPr/>
        <w:tc>
          <w:tcPr>
            <w:tcW w:w="3307" w:type="dxa"/>
            <w:tcBorders/>
            <w:shd w:color="auto" w:fill="auto" w:val="clear"/>
            <w:vAlign w:val="bottom"/>
          </w:tcPr>
          <w:p>
            <w:pPr>
              <w:pStyle w:val="Style23"/>
              <w:widowControl w:val="false"/>
              <w:rPr/>
            </w:pPr>
            <w:r>
              <w:rPr>
                <w:rFonts w:eastAsia="Times New Roman"/>
                <w:sz w:val="20"/>
                <w:szCs w:val="20"/>
                <w:lang w:val="en-US"/>
              </w:rPr>
              <w:t>Секретарь комиссии</w:t>
            </w:r>
          </w:p>
        </w:tc>
        <w:tc>
          <w:tcPr>
            <w:tcW w:w="3301" w:type="dxa"/>
            <w:tcBorders/>
            <w:shd w:color="auto" w:fill="auto" w:val="clear"/>
          </w:tcPr>
          <w:p>
            <w:pPr>
              <w:pStyle w:val="Style23"/>
              <w:widowControl w:val="false"/>
              <w:pBdr>
                <w:bottom w:val="single" w:sz="8" w:space="2" w:color="000001"/>
              </w:pBdr>
              <w:rPr>
                <w:sz w:val="20"/>
                <w:szCs w:val="20"/>
                <w:lang w:val="en-US"/>
              </w:rPr>
            </w:pPr>
            <w:r>
              <w:rPr>
                <w:sz w:val="20"/>
                <w:szCs w:val="20"/>
                <w:lang w:val="en-US"/>
              </w:rPr>
            </w:r>
          </w:p>
        </w:tc>
        <w:tc>
          <w:tcPr>
            <w:tcW w:w="3314" w:type="dxa"/>
            <w:tcBorders/>
            <w:shd w:color="auto" w:fill="auto" w:val="clear"/>
            <w:vAlign w:val="bottom"/>
          </w:tcPr>
          <w:p>
            <w:pPr>
              <w:pStyle w:val="Style23"/>
              <w:widowControl w:val="false"/>
              <w:rPr/>
            </w:pPr>
            <w:r>
              <w:rPr>
                <w:sz w:val="20"/>
                <w:szCs w:val="20"/>
                <w:lang w:val="en-US"/>
              </w:rPr>
              <w:t>Лыков Виталий Игоревич</w:t>
            </w:r>
          </w:p>
        </w:tc>
      </w:tr>
    </w:tbl>
    <w:sectPr>
      <w:type w:val="nextPage"/>
      <w:pgSz w:w="11906" w:h="16838"/>
      <w:pgMar w:left="1418" w:right="566"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egoe UI">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 w:cs="Times New Roman" w:eastAsiaTheme="minorEastAsia"/>
      <w:color w:val="00000A"/>
      <w:kern w:val="0"/>
      <w:sz w:val="24"/>
      <w:szCs w:val="24"/>
      <w:lang w:val="ru-RU" w:eastAsia="ru-RU" w:bidi="ar-SA"/>
    </w:rPr>
  </w:style>
  <w:style w:type="character" w:styleId="DefaultParagraphFont" w:default="1">
    <w:name w:val="Default Paragraph Font"/>
    <w:uiPriority w:val="1"/>
    <w:semiHidden/>
    <w:unhideWhenUsed/>
    <w:qFormat/>
    <w:rPr/>
  </w:style>
  <w:style w:type="character" w:styleId="Annotationreference">
    <w:name w:val="annotation reference"/>
    <w:basedOn w:val="DefaultParagraphFont"/>
    <w:uiPriority w:val="99"/>
    <w:semiHidden/>
    <w:unhideWhenUsed/>
    <w:qFormat/>
    <w:rsid w:val="00b171ee"/>
    <w:rPr>
      <w:sz w:val="16"/>
      <w:szCs w:val="16"/>
    </w:rPr>
  </w:style>
  <w:style w:type="character" w:styleId="Style14" w:customStyle="1">
    <w:name w:val="Текст примечания Знак"/>
    <w:basedOn w:val="DefaultParagraphFont"/>
    <w:uiPriority w:val="99"/>
    <w:semiHidden/>
    <w:qFormat/>
    <w:rsid w:val="00b171ee"/>
    <w:rPr>
      <w:rFonts w:eastAsia="" w:eastAsiaTheme="minorEastAsia"/>
    </w:rPr>
  </w:style>
  <w:style w:type="character" w:styleId="Style15" w:customStyle="1">
    <w:name w:val="Тема примечания Знак"/>
    <w:basedOn w:val="Style14"/>
    <w:uiPriority w:val="99"/>
    <w:semiHidden/>
    <w:qFormat/>
    <w:rsid w:val="00b171ee"/>
    <w:rPr>
      <w:rFonts w:eastAsia="" w:eastAsiaTheme="minorEastAsia"/>
      <w:b/>
      <w:bCs/>
    </w:rPr>
  </w:style>
  <w:style w:type="character" w:styleId="Style16" w:customStyle="1">
    <w:name w:val="Текст выноски Знак"/>
    <w:basedOn w:val="DefaultParagraphFont"/>
    <w:uiPriority w:val="99"/>
    <w:semiHidden/>
    <w:qFormat/>
    <w:rsid w:val="00b171ee"/>
    <w:rPr>
      <w:rFonts w:ascii="Segoe UI" w:hAnsi="Segoe UI" w:eastAsia="" w:cs="Segoe UI" w:eastAsiaTheme="minorEastAsia"/>
      <w:sz w:val="18"/>
      <w:szCs w:val="18"/>
    </w:rPr>
  </w:style>
  <w:style w:type="paragraph" w:styleId="Style17">
    <w:name w:val="Заголовок"/>
    <w:basedOn w:val="Normal"/>
    <w:next w:val="Style18"/>
    <w:qFormat/>
    <w:pPr>
      <w:keepNext w:val="true"/>
      <w:spacing w:before="240" w:after="120"/>
    </w:pPr>
    <w:rPr>
      <w:rFonts w:ascii="Liberation Sans" w:hAnsi="Liberation Sans" w:eastAsia="Microsoft YaHei" w:cs="Arial Unicode MS"/>
      <w:sz w:val="28"/>
      <w:szCs w:val="28"/>
    </w:rPr>
  </w:style>
  <w:style w:type="paragraph" w:styleId="Style18">
    <w:name w:val="Body Text"/>
    <w:basedOn w:val="Normal"/>
    <w:pPr>
      <w:spacing w:lineRule="auto" w:line="288" w:before="0" w:after="140"/>
    </w:pPr>
    <w:rPr/>
  </w:style>
  <w:style w:type="paragraph" w:styleId="Style19">
    <w:name w:val="List"/>
    <w:basedOn w:val="Style18"/>
    <w:pPr/>
    <w:rPr>
      <w:rFonts w:cs="Noto Sans Devanagari"/>
    </w:rPr>
  </w:style>
  <w:style w:type="paragraph" w:styleId="Style20">
    <w:name w:val="Caption"/>
    <w:basedOn w:val="Normal"/>
    <w:qFormat/>
    <w:pPr>
      <w:suppressLineNumbers/>
      <w:spacing w:before="120" w:after="120"/>
    </w:pPr>
    <w:rPr>
      <w:rFonts w:cs="Arial Unicode MS"/>
      <w:i/>
      <w:iCs/>
      <w:sz w:val="24"/>
      <w:szCs w:val="24"/>
    </w:rPr>
  </w:style>
  <w:style w:type="paragraph" w:styleId="Style21">
    <w:name w:val="Указатель"/>
    <w:basedOn w:val="Normal"/>
    <w:qFormat/>
    <w:pPr>
      <w:suppressLineNumbers/>
    </w:pPr>
    <w:rPr>
      <w:rFonts w:cs="Arial Unicode MS"/>
    </w:rPr>
  </w:style>
  <w:style w:type="paragraph" w:styleId="Style22">
    <w:name w:val="Title"/>
    <w:basedOn w:val="Normal"/>
    <w:next w:val="Style18"/>
    <w:qFormat/>
    <w:pPr>
      <w:keepNext w:val="true"/>
      <w:spacing w:before="240" w:after="120"/>
    </w:pPr>
    <w:rPr>
      <w:rFonts w:ascii="Liberation Sans" w:hAnsi="Liberation Sans" w:eastAsia="Noto Sans CJK SC Regular" w:cs="Noto Sans Devanagari"/>
      <w:sz w:val="28"/>
      <w:szCs w:val="28"/>
    </w:rPr>
  </w:style>
  <w:style w:type="paragraph" w:styleId="Caption">
    <w:name w:val="caption"/>
    <w:basedOn w:val="Normal"/>
    <w:qFormat/>
    <w:pPr>
      <w:suppressLineNumbers/>
      <w:spacing w:before="120" w:after="120"/>
    </w:pPr>
    <w:rPr>
      <w:rFonts w:cs="Noto Sans Devanagari"/>
      <w:i/>
      <w:iCs/>
    </w:rPr>
  </w:style>
  <w:style w:type="paragraph" w:styleId="Indexheading">
    <w:name w:val="index heading"/>
    <w:basedOn w:val="Normal"/>
    <w:qFormat/>
    <w:pPr>
      <w:suppressLineNumbers/>
    </w:pPr>
    <w:rPr>
      <w:rFonts w:cs="Noto Sans Devanagari"/>
    </w:rPr>
  </w:style>
  <w:style w:type="paragraph" w:styleId="Dt" w:customStyle="1">
    <w:name w:val="dt"/>
    <w:basedOn w:val="Normal"/>
    <w:qFormat/>
    <w:pPr>
      <w:spacing w:beforeAutospacing="1" w:afterAutospacing="1"/>
    </w:pPr>
    <w:rPr/>
  </w:style>
  <w:style w:type="paragraph" w:styleId="Th" w:customStyle="1">
    <w:name w:val="th"/>
    <w:basedOn w:val="Normal"/>
    <w:qFormat/>
    <w:pPr>
      <w:shd w:val="clear" w:color="auto" w:fill="EEEEEE"/>
      <w:spacing w:beforeAutospacing="1" w:afterAutospacing="1"/>
    </w:pPr>
    <w:rPr/>
  </w:style>
  <w:style w:type="paragraph" w:styleId="Fr" w:customStyle="1">
    <w:name w:val="fr"/>
    <w:basedOn w:val="Normal"/>
    <w:qFormat/>
    <w:pPr>
      <w:spacing w:beforeAutospacing="1" w:afterAutospacing="1"/>
    </w:pPr>
    <w:rPr/>
  </w:style>
  <w:style w:type="paragraph" w:styleId="Headingcenter1" w:customStyle="1">
    <w:name w:val="headingcenter1"/>
    <w:basedOn w:val="Normal"/>
    <w:qFormat/>
    <w:pPr>
      <w:spacing w:beforeAutospacing="1" w:afterAutospacing="1"/>
      <w:jc w:val="center"/>
    </w:pPr>
    <w:rPr>
      <w:b/>
      <w:bCs/>
      <w:sz w:val="28"/>
      <w:szCs w:val="28"/>
    </w:rPr>
  </w:style>
  <w:style w:type="paragraph" w:styleId="Usual1" w:customStyle="1">
    <w:name w:val="usual1"/>
    <w:basedOn w:val="Normal"/>
    <w:qFormat/>
    <w:pPr>
      <w:spacing w:beforeAutospacing="1" w:after="200"/>
    </w:pPr>
    <w:rPr/>
  </w:style>
  <w:style w:type="paragraph" w:styleId="Usual2" w:customStyle="1">
    <w:name w:val="usual2"/>
    <w:basedOn w:val="Normal"/>
    <w:qFormat/>
    <w:pPr>
      <w:spacing w:beforeAutospacing="1" w:after="200"/>
      <w:ind w:left="460" w:hanging="0"/>
    </w:pPr>
    <w:rPr/>
  </w:style>
  <w:style w:type="paragraph" w:styleId="Margleft1" w:customStyle="1">
    <w:name w:val="margleft1"/>
    <w:basedOn w:val="Normal"/>
    <w:qFormat/>
    <w:pPr>
      <w:spacing w:beforeAutospacing="1" w:afterAutospacing="1"/>
    </w:pPr>
    <w:rPr/>
  </w:style>
  <w:style w:type="paragraph" w:styleId="Commissiontable" w:customStyle="1">
    <w:name w:val="commissiontable"/>
    <w:basedOn w:val="Normal"/>
    <w:qFormat/>
    <w:pPr>
      <w:spacing w:beforeAutospacing="1" w:afterAutospacing="1"/>
    </w:pPr>
    <w:rPr/>
  </w:style>
  <w:style w:type="paragraph" w:styleId="Requests" w:customStyle="1">
    <w:name w:val="requests"/>
    <w:basedOn w:val="Normal"/>
    <w:qFormat/>
    <w:pPr>
      <w:spacing w:beforeAutospacing="1" w:afterAutospacing="1"/>
      <w:ind w:left="460" w:hanging="0"/>
    </w:pPr>
    <w:rPr/>
  </w:style>
  <w:style w:type="paragraph" w:styleId="Margtab1" w:customStyle="1">
    <w:name w:val="margtab1"/>
    <w:basedOn w:val="Normal"/>
    <w:qFormat/>
    <w:pPr>
      <w:spacing w:beforeAutospacing="1" w:afterAutospacing="1"/>
      <w:ind w:left="460" w:hanging="0"/>
    </w:pPr>
    <w:rPr/>
  </w:style>
  <w:style w:type="paragraph" w:styleId="Annotationtext">
    <w:name w:val="annotation text"/>
    <w:basedOn w:val="Normal"/>
    <w:uiPriority w:val="99"/>
    <w:semiHidden/>
    <w:unhideWhenUsed/>
    <w:qFormat/>
    <w:rsid w:val="00b171ee"/>
    <w:pPr/>
    <w:rPr>
      <w:sz w:val="20"/>
      <w:szCs w:val="20"/>
    </w:rPr>
  </w:style>
  <w:style w:type="paragraph" w:styleId="Annotationsubject">
    <w:name w:val="annotation subject"/>
    <w:basedOn w:val="Annotationtext"/>
    <w:uiPriority w:val="99"/>
    <w:semiHidden/>
    <w:unhideWhenUsed/>
    <w:qFormat/>
    <w:rsid w:val="00b171ee"/>
    <w:pPr/>
    <w:rPr>
      <w:b/>
      <w:bCs/>
    </w:rPr>
  </w:style>
  <w:style w:type="paragraph" w:styleId="BalloonText">
    <w:name w:val="Balloon Text"/>
    <w:basedOn w:val="Normal"/>
    <w:uiPriority w:val="99"/>
    <w:semiHidden/>
    <w:unhideWhenUsed/>
    <w:qFormat/>
    <w:rsid w:val="00b171ee"/>
    <w:pPr/>
    <w:rPr>
      <w:rFonts w:ascii="Segoe UI" w:hAnsi="Segoe UI" w:cs="Segoe UI"/>
      <w:sz w:val="18"/>
      <w:szCs w:val="18"/>
    </w:rPr>
  </w:style>
  <w:style w:type="paragraph" w:styleId="NormalWeb">
    <w:name w:val="Normal (Web)"/>
    <w:basedOn w:val="Normal"/>
    <w:uiPriority w:val="99"/>
    <w:unhideWhenUsed/>
    <w:qFormat/>
    <w:rsid w:val="00c6449d"/>
    <w:pPr>
      <w:spacing w:beforeAutospacing="1" w:afterAutospacing="1"/>
    </w:pPr>
    <w:rPr>
      <w:rFonts w:eastAsia="Times New Roman"/>
    </w:rPr>
  </w:style>
  <w:style w:type="paragraph" w:styleId="Style23" w:customStyle="1">
    <w:name w:val="Содержимое таблицы"/>
    <w:basedOn w:val="Normal"/>
    <w:qFormat/>
    <w:pPr/>
    <w:rPr/>
  </w:style>
  <w:style w:type="paragraph" w:styleId="Style24" w:customStyle="1">
    <w:name w:val="Заголовок таблицы"/>
    <w:basedOn w:val="Style23"/>
    <w:qFormat/>
    <w:pPr/>
    <w:rPr/>
  </w:style>
  <w:style w:type="paragraph" w:styleId="DocumentMap" w:customStyle="1">
    <w:name w:val="Document Map"/>
    <w:qFormat/>
    <w:pPr>
      <w:widowControl/>
      <w:suppressAutoHyphens w:val="true"/>
      <w:bidi w:val="0"/>
      <w:spacing w:before="0" w:after="0"/>
      <w:jc w:val="left"/>
    </w:pPr>
    <w:rPr>
      <w:rFonts w:ascii="Times New Roman" w:hAnsi="Times New Roman" w:eastAsia="Times New Roman" w:cs="Times New Roman"/>
      <w:color w:val="00000A"/>
      <w:kern w:val="0"/>
      <w:sz w:val="24"/>
      <w:szCs w:val="20"/>
      <w:lang w:val="ru-RU" w:eastAsia="ru-RU" w:bidi="ar-S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Application>LibreOffice/7.0.1.2$Windows_x86 LibreOffice_project/7cbcfc562f6eb6708b5ff7d7397325de9e764452</Application>
  <Pages>5</Pages>
  <Words>3874</Words>
  <Characters>28241</Characters>
  <CharactersWithSpaces>32001</CharactersWithSpaces>
  <Paragraphs>148</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2020-01-20T14:42:00Z</dcterms:created>
  <dc:creator>Ларий Дарья Григорьевна</dc:creator>
  <dc:description/>
  <dc:language>ru-RU</dc:language>
  <cp:lastModifiedBy/>
  <dcterms:modified xsi:type="dcterms:W3CDTF">2021-10-14T17:33:32Z</dcterms:modified>
  <cp:revision>18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