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Протокол  </w:t>
      </w:r>
      <w:r>
        <w:rPr>
          <w:rFonts w:eastAsia="Times New Roman" w:cs="Times New Roman"/>
          <w:b/>
          <w:bCs/>
          <w:color w:val="00000A"/>
          <w:kern w:val="0"/>
          <w:sz w:val="20"/>
          <w:szCs w:val="20"/>
          <w:lang w:val="ru-RU" w:eastAsia="ru-RU" w:bidi="ar-SA"/>
        </w:rPr>
        <w:t>№ 06-01/</w:t>
      </w:r>
      <w:r>
        <w:rPr>
          <w:rFonts w:eastAsia="Times New Roman" w:cs="Times New Roman"/>
          <w:b/>
          <w:bCs/>
          <w:color w:val="00000A"/>
          <w:kern w:val="0"/>
          <w:sz w:val="20"/>
          <w:szCs w:val="20"/>
          <w:lang w:val="ru-RU" w:eastAsia="ru-RU" w:bidi="ar-SA"/>
        </w:rPr>
        <w:t>830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lang w:val="en-US"/>
        </w:rPr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lang w:val="en-US"/>
        </w:rPr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19</w:t>
      </w:r>
      <w:r>
        <w:rPr>
          <w:rFonts w:eastAsia="Times New Roman"/>
          <w:sz w:val="20"/>
          <w:szCs w:val="20"/>
          <w:lang w:val="en-US"/>
        </w:rPr>
        <w:t xml:space="preserve">.10.21 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true"/>
        <w:bidi w:val="0"/>
        <w:ind w:left="0" w:right="0" w:hanging="0"/>
        <w:jc w:val="left"/>
        <w:rPr>
          <w:rFonts w:eastAsia="Times New Roman"/>
          <w:sz w:val="20"/>
          <w:szCs w:val="20"/>
          <w:lang w:val="ru-RU"/>
        </w:rPr>
      </w:pPr>
      <w:r>
        <w:rPr>
          <w:rFonts w:eastAsia="Times New Roman"/>
          <w:sz w:val="20"/>
          <w:szCs w:val="20"/>
          <w:lang w:val="ru-RU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"КУРСКАЯ ГОРОДСКАЯ КЛИНИЧЕСКАЯ БОЛЬНИЦА СКОРОЙ МЕДИЦИНСКОЙ ПОМОЩИ"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1.Наименование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реагентов диагностических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2.Идентификационный код закупки: 212462904015746320100100340122120244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3.Начальная (максимальная) цена контракта: 1 368 245,53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4.Состав аукционной комиссии:</w:t>
      </w:r>
    </w:p>
    <w:tbl>
      <w:tblPr>
        <w:tblW w:w="9927" w:type="dxa"/>
        <w:jc w:val="left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0"/>
        <w:gridCol w:w="3128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Шаталова Юлия Алексеевна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Суслова Ольга Геннадьевна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Шашкова Наталья Викторовна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Монастырёва Марина Николаевна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5.Аукционной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5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145"/>
        <w:gridCol w:w="2891"/>
        <w:gridCol w:w="2959"/>
        <w:gridCol w:w="1929"/>
      </w:tblGrid>
      <w:tr>
        <w:trPr/>
        <w:tc>
          <w:tcPr>
            <w:tcW w:w="9924" w:type="dxa"/>
            <w:gridSpan w:val="4"/>
            <w:tcBorders/>
            <w:shd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1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145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EA-120312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Федюшин Роман Александрович / 463100313724</w:t>
            </w:r>
          </w:p>
        </w:tc>
        <w:tc>
          <w:tcPr>
            <w:tcW w:w="289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 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Обоснование:</w:t>
              <w:br/>
              <w:t>непредставление документов и информации, которые предусмотрены частью 11 статьи 24.1, частями 3 или 3.1, 5, 8.2 статьи 66 Федерального закона №44-ФЗ, несоответствия указанных документов и информации требованиям, установленным документацией о таком аукционе, наличия в указанных документах недостоверной информации об участнике такого аукциона на дату и время окончания срока подачи заявок на участие в таком аукционе</w:t>
              <w:br/>
              <w:br/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Шаталова Юлия Алексеевна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EA-120312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Федюшин Роман Александрович / 463100313724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 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Обоснование:</w:t>
              <w:br/>
              <w:t>непредставление документов и информации, которые предусмотрены частью 11 статьи 24.1, частями 3 или 3.1, 5, 8.2 статьи 66 Федерального закона №44-ФЗ, несоответствия указанных документов и информации требованиям, установленным документацией о таком аукционе, наличия в указанных документах недостоверной информации об участнике такого аукциона на дату и время окончания срока подачи заявок на участие в таком аукционе</w:t>
              <w:br/>
              <w:br/>
              <w:t>непредставление документов и информации, которые предусмотрены частью 11 статьи 24.1, частями 3 или 3.1, 5, 8.2 статьи 66 Федерального закона №44-ФЗ, несоответствия указанных документов и информации требованиям, установленным документацией о таком аукционе, наличия в указанных документах недостоверной информации об участнике такого аукциона на дату и время окончания срока подачи заявок на участие в таком аукционе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Суслова Ольга Геннадьевна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EA-120312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Федюшин Роман Александрович / 463100313724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 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Обоснование:</w:t>
              <w:br/>
              <w:t>непредставление документов и информации, которые предусмотрены частью 11 статьи 24.1, частями 3 или 3.1, 5, 8.2 статьи 66 Федерального закона №44-ФЗ, несоответствия указанных документов и информации требованиям, установленным документацией о таком аукционе, наличия в указанных документах недостоверной информации об участнике такого аукциона на дату и время окончания срока подачи заявок на участие в таком аукционе</w:t>
              <w:br/>
              <w:br/>
              <w:t>непредставление документов и информации, которые предусмотрены частью 11 статьи 24.1, частями 3 или 3.1, 5, 8.2 статьи 66 Федерального закона №44-ФЗ, несоответствия указанных документов и информации требованиям, установленным документацией о таком аукционе, наличия в указанных документах недостоверной информации об участнике такого аукциона на дату и время окончания срока подачи заявок на участие в таком аукционе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Шашкова Наталья Викторовна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EA-120312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Федюшин Роман Александрович / 463100313724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 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Обоснование:</w:t>
              <w:br/>
              <w:t>непредставление документов и информации, которые предусмотрены частью 11 статьи 24.1, частями 3 или 3.1, 5, 8.2 статьи 66 Федерального закона №44-ФЗ, несоответствия указанных документов и информации требованиям, установленным документацией о таком аукционе, наличия в указанных документах недостоверной информации об участнике такого аукциона на дату и время окончания срока подачи заявок на участие в таком аукционе</w:t>
              <w:br/>
              <w:br/>
              <w:t>непредставление документов и информации, которые предусмотрены частью 11 статьи 24.1, частями 3 или 3.1, 5, 8.2 статьи 66 Федерального закона №44-ФЗ, несоответствия указанных документов и информации требованиям, установленным документацией о таком аукционе, наличия в указанных документах недостоверной информации об участнике такого аукциона на дату и время окончания срока подачи заявок на участие в таком аукционе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Монастырёва Марина Николаевна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</w:tbl>
    <w:p>
      <w:pPr>
        <w:pStyle w:val="Normal"/>
        <w:widowControl w:val="false"/>
        <w:rPr/>
      </w:pPr>
      <w:r>
        <w:rPr>
          <w:rFonts w:eastAsia="Times New Roman" w:cs="Times New Roman"/>
          <w:b w:val="false"/>
          <w:bCs w:val="false"/>
          <w:sz w:val="20"/>
        </w:rPr>
        <w:t>6</w:t>
      </w:r>
      <w:r>
        <w:rPr>
          <w:rFonts w:eastAsia="Times New Roman" w:cs="Times New Roman"/>
          <w:b/>
          <w:bCs/>
          <w:sz w:val="20"/>
        </w:rPr>
        <w:t xml:space="preserve">. Заявка участника с идентификационным номером </w:t>
      </w:r>
      <w:r>
        <w:rPr>
          <w:rFonts w:eastAsia="Times New Roman" w:cs="Times New Roman"/>
          <w:b/>
          <w:bCs/>
          <w:sz w:val="20"/>
          <w:szCs w:val="20"/>
          <w:lang w:val="en-US"/>
        </w:rPr>
        <w:t>EA-120312</w:t>
      </w:r>
      <w:r>
        <w:rPr>
          <w:rFonts w:eastAsia="Times New Roman" w:cs="Times New Roman"/>
          <w:b w:val="false"/>
          <w:sz w:val="20"/>
        </w:rPr>
        <w:t>.</w:t>
      </w:r>
    </w:p>
    <w:p>
      <w:pPr>
        <w:pStyle w:val="Normal"/>
        <w:rPr/>
      </w:pPr>
      <w:r>
        <w:rPr>
          <w:rFonts w:eastAsia="Times New Roman" w:cs="Times New Roman"/>
          <w:b/>
          <w:bCs/>
          <w:sz w:val="20"/>
        </w:rPr>
        <w:t>Причина отклонения:</w:t>
      </w:r>
      <w:r>
        <w:rPr>
          <w:rFonts w:eastAsia="Times New Roman" w:cs="Times New Roman"/>
          <w:sz w:val="20"/>
        </w:rPr>
        <w:t xml:space="preserve"> </w:t>
      </w:r>
      <w:r>
        <w:rPr/>
        <w:br/>
      </w:r>
      <w:r>
        <w:rPr>
          <w:rFonts w:eastAsia="Times New Roman" w:cs="Times New Roman"/>
          <w:b w:val="false"/>
          <w:sz w:val="20"/>
        </w:rPr>
        <w:t xml:space="preserve"> В соответствии с п. 2 ч.4 ст.67 №44-ФЗ несоответствие информации, предусмотренной п.п. б) пункта 2 части 3 статьи 66 Федерального закона    от 05.04.2013 № 44-ФЗ «О контрактной системе в сфере закупок товаров, работ, услуг для обеспечения государственных и муниципальных нужд», конкретных показателей, соответствующих значениям, установленным в аукционной документации, в соответствии с требованиями ч. 13, 40 документации, а именно:</w:t>
      </w:r>
    </w:p>
    <w:p>
      <w:pPr>
        <w:pStyle w:val="Normal"/>
        <w:spacing w:lineRule="auto" w:line="240" w:before="0" w:after="0"/>
        <w:ind w:left="0" w:right="0" w:firstLine="567"/>
        <w:jc w:val="both"/>
        <w:rPr>
          <w:rFonts w:ascii="Times New Roman" w:hAnsi="Times New Roman" w:eastAsia="Times New Roman" w:cs="Times New Roman"/>
          <w:b w:val="false"/>
          <w:b w:val="false"/>
          <w:sz w:val="20"/>
        </w:rPr>
      </w:pPr>
      <w:r>
        <w:rPr>
          <w:rFonts w:eastAsia="Times New Roman" w:cs="Times New Roman"/>
          <w:b w:val="false"/>
          <w:sz w:val="20"/>
          <w:szCs w:val="20"/>
          <w:lang w:val="en-US"/>
        </w:rPr>
        <w:t>несоответствие конкретных показателей  предлагаемого товара по следующим характеристикам, указанным в аукционной документации: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tbl>
      <w:tblPr>
        <w:tblW w:w="9188" w:type="dxa"/>
        <w:jc w:val="left"/>
        <w:tblInd w:w="-45" w:type="dxa"/>
        <w:tblCellMar>
          <w:top w:w="57" w:type="dxa"/>
          <w:left w:w="108" w:type="dxa"/>
          <w:bottom w:w="57" w:type="dxa"/>
          <w:right w:w="108" w:type="dxa"/>
        </w:tblCellMar>
      </w:tblPr>
      <w:tblGrid>
        <w:gridCol w:w="511"/>
        <w:gridCol w:w="1684"/>
        <w:gridCol w:w="1935"/>
        <w:gridCol w:w="2680"/>
        <w:gridCol w:w="2378"/>
      </w:tblGrid>
      <w:tr>
        <w:trPr>
          <w:trHeight w:val="679" w:hRule="atLeast"/>
        </w:trPr>
        <w:tc>
          <w:tcPr>
            <w:tcW w:w="5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rPr>
                <w:rFonts w:ascii="Times New Roman" w:hAnsi="Times New Roman" w:eastAsia="Times New Roman" w:cs="Times New Roman"/>
                <w:sz w:val="20"/>
              </w:rPr>
            </w:pPr>
            <w:r>
              <w:rPr>
                <w:rFonts w:eastAsia="Times New Roman" w:cs="Times New Roman"/>
                <w:sz w:val="20"/>
                <w:szCs w:val="20"/>
              </w:rPr>
              <w:t>№</w:t>
            </w:r>
          </w:p>
        </w:tc>
        <w:tc>
          <w:tcPr>
            <w:tcW w:w="16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360" w:leader="none"/>
              </w:tabs>
              <w:spacing w:before="0" w:after="60"/>
              <w:jc w:val="center"/>
              <w:rPr>
                <w:rFonts w:ascii="Times New Roman" w:hAnsi="Times New Roman" w:eastAsia="Times New Roman" w:cs="Times New Roman"/>
                <w:b w:val="false"/>
                <w:b w:val="false"/>
                <w:bCs w:val="false"/>
                <w:color w:val="000000"/>
                <w:sz w:val="20"/>
              </w:rPr>
            </w:pPr>
            <w:r>
              <w:rPr>
                <w:rFonts w:eastAsia="Times New Roman" w:cs="Times New Roman"/>
                <w:b w:val="false"/>
                <w:bCs w:val="false"/>
                <w:color w:val="000000"/>
                <w:sz w:val="20"/>
                <w:szCs w:val="20"/>
              </w:rPr>
              <w:t>Наименование поставляемого товара</w:t>
            </w:r>
          </w:p>
        </w:tc>
        <w:tc>
          <w:tcPr>
            <w:tcW w:w="461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 w:eastAsia="Times New Roman" w:cs="Times New Roman"/>
                <w:sz w:val="20"/>
              </w:rPr>
            </w:pPr>
            <w:r>
              <w:rPr>
                <w:rFonts w:eastAsia="Times New Roman" w:cs="Times New Roman"/>
                <w:sz w:val="20"/>
                <w:szCs w:val="20"/>
              </w:rPr>
              <w:t>По данным аукционной документации</w:t>
            </w:r>
          </w:p>
        </w:tc>
        <w:tc>
          <w:tcPr>
            <w:tcW w:w="2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 w:eastAsia="Times New Roman" w:cs="Times New Roman"/>
                <w:sz w:val="20"/>
              </w:rPr>
            </w:pPr>
            <w:r>
              <w:rPr>
                <w:rFonts w:eastAsia="Times New Roman" w:cs="Times New Roman"/>
                <w:sz w:val="20"/>
                <w:szCs w:val="20"/>
              </w:rPr>
              <w:t>По данным участника</w:t>
            </w:r>
          </w:p>
        </w:tc>
      </w:tr>
      <w:tr>
        <w:trPr>
          <w:trHeight w:val="280" w:hRule="atLeast"/>
        </w:trPr>
        <w:tc>
          <w:tcPr>
            <w:tcW w:w="5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rPr>
                <w:rFonts w:ascii="Times New Roman" w:hAnsi="Times New Roman" w:eastAsia="Times New Roman" w:cs="Times New Roman"/>
                <w:sz w:val="20"/>
              </w:rPr>
            </w:pPr>
            <w:r>
              <w:rPr>
                <w:rFonts w:eastAsia="Times New Roman" w:cs="Times New Roman"/>
                <w:sz w:val="20"/>
                <w:szCs w:val="20"/>
              </w:rPr>
              <w:t>14</w:t>
            </w:r>
          </w:p>
        </w:tc>
        <w:tc>
          <w:tcPr>
            <w:tcW w:w="16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uppressAutoHyphens w:val="false"/>
              <w:spacing w:before="0" w:after="60"/>
              <w:jc w:val="center"/>
              <w:rPr>
                <w:rFonts w:ascii="Times New Roman" w:hAnsi="Times New Roman"/>
              </w:rPr>
            </w:pPr>
            <w:r>
              <w:rPr>
                <w:rStyle w:val="Sectioninfo"/>
                <w:rFonts w:eastAsia="Times New Roman" w:cs="Times New Roman"/>
                <w:b w:val="false"/>
                <w:bCs w:val="false"/>
                <w:color w:val="000000"/>
                <w:sz w:val="20"/>
                <w:szCs w:val="20"/>
              </w:rPr>
              <w:t>Моющий/чистящий раствор ИВД, для автоматизированных / полуавтоматизированных систем</w:t>
            </w:r>
          </w:p>
        </w:tc>
        <w:tc>
          <w:tcPr>
            <w:tcW w:w="1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pacing w:lineRule="auto" w:line="276" w:beforeAutospacing="1" w:after="0"/>
              <w:rPr>
                <w:rFonts w:ascii="Times New Roman" w:hAnsi="Times New Roman"/>
              </w:rPr>
            </w:pPr>
            <w:r>
              <w:rPr>
                <w:rFonts w:eastAsia="Times New Roman" w:cs="Times New Roman"/>
                <w:b w:val="false"/>
                <w:sz w:val="20"/>
                <w:szCs w:val="20"/>
                <w:lang w:val="de-DE" w:eastAsia="fa-IR"/>
              </w:rPr>
              <w:t>Объем реагента, (Кубический сантиметр;^миллилитр)</w:t>
            </w:r>
          </w:p>
        </w:tc>
        <w:tc>
          <w:tcPr>
            <w:tcW w:w="2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pacing w:beforeAutospacing="1" w:after="0"/>
              <w:jc w:val="center"/>
              <w:rPr>
                <w:color w:val="000000"/>
              </w:rPr>
            </w:pPr>
            <w:r>
              <w:rPr>
                <w:rFonts w:eastAsia="Andale Sans UI;Arial Unicode MS"/>
                <w:sz w:val="20"/>
                <w:szCs w:val="20"/>
                <w:lang w:val="de-DE" w:eastAsia="fa-IR"/>
              </w:rPr>
              <w:t xml:space="preserve">≥ </w:t>
            </w:r>
            <w:r>
              <w:rPr>
                <w:rFonts w:eastAsia="Andale Sans UI;Arial Unicode MS"/>
                <w:sz w:val="20"/>
                <w:szCs w:val="20"/>
                <w:lang w:val="de-DE" w:eastAsia="fa-IR"/>
              </w:rPr>
              <w:t>10  и  ≤ 50</w:t>
            </w:r>
          </w:p>
        </w:tc>
        <w:tc>
          <w:tcPr>
            <w:tcW w:w="2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76" w:beforeAutospacing="1" w:after="0"/>
              <w:jc w:val="center"/>
              <w:rPr>
                <w:color w:val="000000"/>
              </w:rPr>
            </w:pPr>
            <w:r>
              <w:rPr>
                <w:rFonts w:eastAsia="Times New Roman" w:cs="Times New Roman"/>
                <w:b w:val="false"/>
                <w:color w:val="000000"/>
                <w:sz w:val="22"/>
                <w:szCs w:val="22"/>
                <w:highlight w:val="white"/>
                <w:lang w:val="de-DE" w:eastAsia="fa-IR"/>
              </w:rPr>
              <w:t>10  и  50</w:t>
            </w:r>
          </w:p>
        </w:tc>
      </w:tr>
      <w:tr>
        <w:trPr>
          <w:trHeight w:val="280" w:hRule="atLeast"/>
        </w:trPr>
        <w:tc>
          <w:tcPr>
            <w:tcW w:w="511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4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15</w:t>
            </w:r>
          </w:p>
        </w:tc>
        <w:tc>
          <w:tcPr>
            <w:tcW w:w="1684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uppressAutoHyphens w:val="false"/>
              <w:spacing w:before="0" w:after="60"/>
              <w:jc w:val="center"/>
              <w:rPr>
                <w:rFonts w:ascii="Times New Roman" w:hAnsi="Times New Roman"/>
              </w:rPr>
            </w:pPr>
            <w:r>
              <w:rPr>
                <w:rStyle w:val="Sectioninfo"/>
                <w:rFonts w:eastAsia="Times New Roman" w:cs="Times New Roman"/>
                <w:b w:val="false"/>
                <w:bCs w:val="false"/>
                <w:color w:val="000000"/>
                <w:sz w:val="20"/>
                <w:szCs w:val="20"/>
              </w:rPr>
              <w:t>Моющий/чистящий раствор ИВД, для автоматизированных / полуавтоматизированных систем</w:t>
            </w:r>
          </w:p>
        </w:tc>
        <w:tc>
          <w:tcPr>
            <w:tcW w:w="1935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hd w:val="clear" w:fill="FFFFFF"/>
              <w:tabs>
                <w:tab w:val="clear" w:pos="708"/>
                <w:tab w:val="left" w:pos="773" w:leader="none"/>
              </w:tabs>
              <w:spacing w:beforeAutospacing="1" w:after="0"/>
              <w:rPr>
                <w:rFonts w:ascii="Times New Roman" w:hAnsi="Times New Roman"/>
              </w:rPr>
            </w:pPr>
            <w:r>
              <w:rPr>
                <w:rFonts w:eastAsia="Andale Sans UI;Arial Unicode MS"/>
                <w:sz w:val="20"/>
                <w:szCs w:val="20"/>
                <w:lang w:val="de-DE" w:eastAsia="fa-IR"/>
              </w:rPr>
              <w:t>Объем реагента, (Кубический сантиметр;^миллилитр)</w:t>
            </w:r>
          </w:p>
        </w:tc>
        <w:tc>
          <w:tcPr>
            <w:tcW w:w="2680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pacing w:beforeAutospacing="1" w:after="0"/>
              <w:jc w:val="center"/>
              <w:rPr>
                <w:color w:val="000000"/>
              </w:rPr>
            </w:pPr>
            <w:r>
              <w:rPr>
                <w:rFonts w:eastAsia="Calibri"/>
                <w:sz w:val="20"/>
                <w:szCs w:val="20"/>
                <w:lang w:val="de-DE" w:eastAsia="fa-IR"/>
              </w:rPr>
              <w:t>&gt; 300  и  ≤ 500</w:t>
            </w:r>
          </w:p>
        </w:tc>
        <w:tc>
          <w:tcPr>
            <w:tcW w:w="237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hd w:val="clear" w:fill="FFFFFF"/>
              <w:tabs>
                <w:tab w:val="clear" w:pos="708"/>
                <w:tab w:val="left" w:pos="773" w:leader="none"/>
              </w:tabs>
              <w:spacing w:beforeAutospacing="1" w:after="0"/>
              <w:jc w:val="center"/>
              <w:rPr>
                <w:color w:val="000000"/>
              </w:rPr>
            </w:pPr>
            <w:r>
              <w:rPr>
                <w:rFonts w:eastAsia="Calibri"/>
                <w:sz w:val="20"/>
                <w:szCs w:val="20"/>
                <w:lang w:val="de-DE" w:eastAsia="fa-IR"/>
              </w:rPr>
              <w:t xml:space="preserve"> </w:t>
            </w:r>
            <w:r>
              <w:rPr>
                <w:rFonts w:eastAsia="Calibri"/>
                <w:sz w:val="20"/>
                <w:szCs w:val="20"/>
                <w:lang w:val="de-DE" w:eastAsia="fa-IR"/>
              </w:rPr>
              <w:t>300  и   500</w:t>
            </w:r>
          </w:p>
        </w:tc>
      </w:tr>
    </w:tbl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7. 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spacing w:lineRule="auto" w:line="240" w:before="0" w:after="0"/>
        <w:ind w:left="0" w:right="0" w:firstLine="567"/>
        <w:jc w:val="both"/>
        <w:rPr>
          <w:rFonts w:eastAsia="Times New Roman"/>
          <w:sz w:val="20"/>
          <w:szCs w:val="20"/>
        </w:rPr>
      </w:pPr>
      <w:r>
        <w:rPr>
          <w:rFonts w:eastAsia="Times New Roman" w:cs="Times New Roman"/>
          <w:b w:val="false"/>
          <w:sz w:val="20"/>
          <w:szCs w:val="20"/>
        </w:rPr>
        <w:t xml:space="preserve"> </w:t>
      </w:r>
      <w:r>
        <w:rPr>
          <w:rFonts w:eastAsia="Times New Roman" w:cs="Times New Roman"/>
          <w:b w:val="false"/>
          <w:sz w:val="20"/>
          <w:szCs w:val="20"/>
        </w:rPr>
        <w:t xml:space="preserve">8. </w:t>
      </w:r>
      <w:r>
        <w:rPr>
          <w:rFonts w:eastAsia="Times New Roman" w:cs="Times New Roman"/>
          <w:b w:val="false"/>
          <w:color w:val="000000"/>
          <w:sz w:val="20"/>
          <w:szCs w:val="20"/>
          <w:lang w:eastAsia="ru-RU"/>
        </w:rPr>
        <w:t>Протокол составлен в одном экземпляре, который хранится в ОКУ «Центр закупок Курской области» и подписан всеми присутствующими членами аукционной комиссии.</w:t>
      </w:r>
      <w:r>
        <w:rPr>
          <w:rFonts w:eastAsia="Times New Roman"/>
          <w:sz w:val="20"/>
          <w:szCs w:val="20"/>
        </w:rPr>
        <w:br/>
        <w:br/>
      </w:r>
      <w:r>
        <w:rPr>
          <w:rFonts w:eastAsia="Times New Roman" w:cs="Times New Roman"/>
          <w:b w:val="false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br/>
        <w:t>9</w:t>
      </w:r>
      <w:r>
        <w:rPr>
          <w:rFonts w:eastAsia="Times New Roman" w:cs="Times New Roman"/>
          <w:b w:val="false"/>
          <w:sz w:val="20"/>
          <w:szCs w:val="20"/>
        </w:rPr>
        <w:t xml:space="preserve">. Подписи: </w:t>
      </w:r>
    </w:p>
    <w:tbl>
      <w:tblPr>
        <w:tblW w:w="9922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Шаталова Юлия Алексеевна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Суслова Ольга Геннадьевна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Шашкова Наталья Викторовна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Монастырёва Марина Николаевна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character" w:styleId="Sectioninfo">
    <w:name w:val="section__info"/>
    <w:basedOn w:val="DefaultParagraphFont"/>
    <w:qFormat/>
    <w:rPr/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paragraph" w:styleId="Standard">
    <w:name w:val="Standard"/>
    <w:qFormat/>
    <w:pPr>
      <w:widowControl/>
      <w:suppressAutoHyphens w:val="true"/>
      <w:bidi w:val="0"/>
      <w:spacing w:before="0" w:after="60"/>
      <w:jc w:val="both"/>
      <w:textAlignment w:val="baseline"/>
    </w:pPr>
    <w:rPr>
      <w:rFonts w:ascii="Times New Roman" w:hAnsi="Times New Roman" w:eastAsia="Times New Roman" w:cs="Liberation Serif;Times New Roman"/>
      <w:color w:val="auto"/>
      <w:kern w:val="2"/>
      <w:sz w:val="24"/>
      <w:szCs w:val="24"/>
      <w:lang w:val="ru-RU" w:eastAsia="ar-SA" w:bidi="hi-IN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787</TotalTime>
  <Application>LibreOffice/6.4.3.2$Windows_x86 LibreOffice_project/747b5d0ebf89f41c860ec2a39efd7cb15b54f2d8</Application>
  <Pages>2</Pages>
  <Words>816</Words>
  <Characters>5740</Characters>
  <CharactersWithSpaces>6507</CharactersWithSpaces>
  <Paragraphs>79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2021-10-19T15:39:10Z</dcterms:modified>
  <cp:revision>112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