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05-01/1080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знаков почтовой оплаты (марки почтовые)"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0744200000221007205)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09-05/30894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</w:t>
      </w:r>
      <w:r>
        <w:rPr>
          <w:rFonts w:eastAsia="Times New Roman"/>
          <w:b w:val="false"/>
          <w:bCs w:val="false"/>
          <w:color w:val="000000"/>
          <w:sz w:val="20"/>
          <w:szCs w:val="20"/>
          <w:u w:val="none"/>
          <w:lang w:val="ru-RU"/>
        </w:rPr>
        <w:t>Российская Федерация, 305000, Курская обл, Курск г, ПЛОЩАДЬ КРАСНАЯ, ПОДЪЕЗД  1, ДОМ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знаков почтовой оплаты (марки почтовые)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212463221032046320100100420035819244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1 527 000,00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 Александр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первой части заявки предоставленная информация о характеристиках товара не соответствует значениям, установленным документацией, а именно:  - по поз. 1 «Марка почтовая номиналом 50 рублей» по данным документации «Номинал — 50 руб.», по данным участника - «Марка почтовая номиналом 56 рублей».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первой части заявки предоставленная информация о характеристиках товара не соответствует значениям, установленным документацией, а именно:  - по поз. 1 «Марка почтовая номиналом 50 рублей» по данным документации «Номинал — 50 руб.», по данным участника - «Марка почтовая номиналом 56 рублей».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первой части заявки предоставленная информация о характеристиках товара не соответствует значениям, установленным документацией, а именно:  - по поз. 1 «Марка почтовая номиналом 50 рублей» по данным документации «Номинал — 50 руб.», по данным участника - «Марка почтовая номиналом 56 рублей».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первой части заявки предоставленная информация о характеристиках товара не соответствует значениям, установленным документацией, а именно:  - по поз. 1 «Марка почтовая номиналом 50 рублей» по данным документации «Номинал — 50 руб.», по данным участника - «Марка почтовая номиналом 56 рублей».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первой части заявки предоставленная информация о характеристиках товара не соответствует значениям, установленным документацией, а именно:  - по поз. 1 «Марка почтовая номиналом 50 рублей» по данным документации «Номинал — 50 руб.», по данным участника - «Марка почтовая номиналом 56 рублей».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EA-119853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Несоответствие информации, предусмотренной п.п. б) пункта 2 части 3 статьи 66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и  требованиями части 38 документации, а именно:   в первой части заявки предоставленная информация о характеристиках товара не соответствует значениям, установленным документацией, а именно:  - по поз. 1 «Марка почтовая номиналом 50 рублей» по данным документации «Номинал — 50 руб.», по данным участника - «Марка почтовая номиналом 56 рублей».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1193</Words>
  <Characters>7996</Characters>
  <CharactersWithSpaces>9149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2021-10-20T11:20:08Z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