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№ 07-01/ 698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0744200000221007382)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 xml:space="preserve">29.10.21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КОМИТЕТ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лекарственных препаратов (МНН Инсулин аспарт)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212462904003746320100100183502120323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контракта: 3 919 950,00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20.00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0"/>
        <w:gridCol w:w="3128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Безродный Геннадий Владимирович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Пронская Светлана Александровна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Мартюшова Лилия Александровна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Чеверда Екатерина Александровна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Копейкина Екатерина Анатольевна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08"/>
        <w:gridCol w:w="3419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EA-123020</w:t>
            </w:r>
          </w:p>
        </w:tc>
        <w:tc>
          <w:tcPr>
            <w:tcW w:w="40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"ПЕГАС ФАРМ" / 7727440550</w:t>
            </w:r>
          </w:p>
        </w:tc>
        <w:tc>
          <w:tcPr>
            <w:tcW w:w="34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3 135 960,00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EA-123012</w:t>
            </w:r>
          </w:p>
        </w:tc>
        <w:tc>
          <w:tcPr>
            <w:tcW w:w="40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"ЭСБИЭС ФАРМАСИ" / 3123321867</w:t>
            </w:r>
          </w:p>
        </w:tc>
        <w:tc>
          <w:tcPr>
            <w:tcW w:w="34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3 155 559,75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8"/>
        <w:gridCol w:w="2750"/>
        <w:gridCol w:w="1737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EA-123020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"ПЕГАС ФАРМ"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Безродный Геннадий Владимирович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EA-123020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"ПЕГАС ФАРМ"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Пронская Светлана Александровна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EA-123020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"ПЕГАС ФАРМ"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Мартюшова Лилия Александровна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EA-123020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"ПЕГАС ФАРМ"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Чеверда Екатерина Александровна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EA-123020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"ПЕГАС ФАРМ"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Копейкина Екатерина Анатольевна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EA-123012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"ЭСБИЭС ФАРМАСИ"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Безродный Геннадий Владимирович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EA-123012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"ЭСБИЭС ФАРМАСИ"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Пронская Светлана Александровна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EA-123012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"ЭСБИЭС ФАРМАСИ"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Мартюшова Лилия Александровна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EA-123012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"ЭСБИЭС ФАРМАСИ"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Чеверда Екатерина Александровна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EA-123012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"ЭСБИЭС ФАРМАСИ"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Копейкина Екатерина Анатольевна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  <w:lang w:val="en-US"/>
        </w:rPr>
        <w:t>Результаты рассмотрения вторых частей заявок в соответствии с ч.8 ст.69 44-ФЗ зафиксированы в нижеуказанной таблице, которые ранжированы в соответствии с ч.18 ст.68 Закона и в отношении которых принято решение о соответствии требованиям, установленным в документации и положениям № 44-ФЗ « О контрактной системе в сфере закупоктовароы, работ, услуг для обеспечения государственных и муниципальных нужд»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10225" w:type="dxa"/>
        <w:jc w:val="left"/>
        <w:tblInd w:w="-26" w:type="dxa"/>
        <w:tblCellMar>
          <w:top w:w="57" w:type="dxa"/>
          <w:left w:w="57" w:type="dxa"/>
          <w:bottom w:w="57" w:type="dxa"/>
          <w:right w:w="57" w:type="dxa"/>
        </w:tblCellMar>
      </w:tblPr>
      <w:tblGrid>
        <w:gridCol w:w="1040"/>
        <w:gridCol w:w="1279"/>
        <w:gridCol w:w="2892"/>
        <w:gridCol w:w="1659"/>
        <w:gridCol w:w="1680"/>
        <w:gridCol w:w="1674"/>
      </w:tblGrid>
      <w:tr>
        <w:trPr>
          <w:trHeight w:val="100" w:hRule="atLeast"/>
        </w:trPr>
        <w:tc>
          <w:tcPr>
            <w:tcW w:w="1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20"/>
              </w:tabs>
              <w:jc w:val="center"/>
              <w:rPr>
                <w:sz w:val="21"/>
                <w:szCs w:val="21"/>
              </w:rPr>
            </w:pPr>
            <w:r>
              <w:rPr>
                <w:rFonts w:eastAsia="Times New Roman" w:cs="Times New Roman"/>
                <w:b/>
                <w:sz w:val="21"/>
                <w:szCs w:val="21"/>
              </w:rPr>
              <w:t>Номер по ранжированию</w:t>
            </w:r>
          </w:p>
        </w:tc>
        <w:tc>
          <w:tcPr>
            <w:tcW w:w="1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20"/>
              </w:tabs>
              <w:jc w:val="center"/>
              <w:rPr>
                <w:sz w:val="21"/>
                <w:szCs w:val="21"/>
              </w:rPr>
            </w:pPr>
            <w:r>
              <w:rPr>
                <w:rFonts w:eastAsia="Times New Roman" w:cs="Times New Roman"/>
                <w:b/>
                <w:sz w:val="21"/>
                <w:szCs w:val="21"/>
              </w:rPr>
              <w:t>Идентификационный номер заявки</w:t>
            </w:r>
          </w:p>
        </w:tc>
        <w:tc>
          <w:tcPr>
            <w:tcW w:w="28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20"/>
              </w:tabs>
              <w:jc w:val="center"/>
              <w:rPr>
                <w:sz w:val="21"/>
                <w:szCs w:val="21"/>
              </w:rPr>
            </w:pPr>
            <w:r>
              <w:rPr>
                <w:rFonts w:eastAsia="Times New Roman" w:cs="Times New Roman"/>
                <w:b/>
                <w:sz w:val="21"/>
                <w:szCs w:val="21"/>
              </w:rPr>
              <w:t>Наименование участника</w:t>
            </w:r>
          </w:p>
        </w:tc>
        <w:tc>
          <w:tcPr>
            <w:tcW w:w="1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20"/>
              </w:tabs>
              <w:jc w:val="center"/>
              <w:rPr>
                <w:sz w:val="21"/>
                <w:szCs w:val="21"/>
              </w:rPr>
            </w:pPr>
            <w:r>
              <w:rPr>
                <w:rFonts w:eastAsia="Times New Roman" w:cs="Times New Roman"/>
                <w:b/>
                <w:sz w:val="21"/>
                <w:szCs w:val="21"/>
              </w:rPr>
              <w:t>ИНН</w:t>
            </w:r>
          </w:p>
        </w:tc>
        <w:tc>
          <w:tcPr>
            <w:tcW w:w="1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20"/>
              </w:tabs>
              <w:jc w:val="center"/>
              <w:rPr>
                <w:sz w:val="21"/>
                <w:szCs w:val="21"/>
              </w:rPr>
            </w:pPr>
            <w:r>
              <w:rPr>
                <w:rFonts w:eastAsia="Times New Roman" w:cs="Times New Roman"/>
                <w:b/>
                <w:sz w:val="21"/>
                <w:szCs w:val="21"/>
              </w:rPr>
              <w:t>Предложение о цене контракта (RUB)</w:t>
            </w:r>
          </w:p>
        </w:tc>
        <w:tc>
          <w:tcPr>
            <w:tcW w:w="1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20"/>
              </w:tabs>
              <w:jc w:val="center"/>
              <w:rPr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Время поступления предложений от участников</w:t>
            </w:r>
          </w:p>
        </w:tc>
      </w:tr>
      <w:tr>
        <w:trPr>
          <w:trHeight w:val="100" w:hRule="atLeast"/>
        </w:trPr>
        <w:tc>
          <w:tcPr>
            <w:tcW w:w="1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20"/>
              </w:tabs>
              <w:jc w:val="center"/>
              <w:rPr>
                <w:sz w:val="21"/>
                <w:szCs w:val="21"/>
              </w:rPr>
            </w:pPr>
            <w:r>
              <w:rPr>
                <w:rFonts w:eastAsia="Times New Roman" w:cs="Times New Roman"/>
                <w:sz w:val="20"/>
                <w:szCs w:val="20"/>
              </w:rPr>
              <w:t>1</w:t>
            </w:r>
          </w:p>
        </w:tc>
        <w:tc>
          <w:tcPr>
            <w:tcW w:w="1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EA-123020</w:t>
            </w:r>
          </w:p>
        </w:tc>
        <w:tc>
          <w:tcPr>
            <w:tcW w:w="28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ОБЩЕСТВО С ОГРАНИЧЕННОЙ ОТВЕТСТВЕННОСТЬЮ "ПЕГАС ФАРМ" </w:t>
            </w:r>
          </w:p>
        </w:tc>
        <w:tc>
          <w:tcPr>
            <w:tcW w:w="1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7727440550</w:t>
            </w:r>
          </w:p>
        </w:tc>
        <w:tc>
          <w:tcPr>
            <w:tcW w:w="1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3 135 960,00 руб.</w:t>
            </w:r>
          </w:p>
        </w:tc>
        <w:tc>
          <w:tcPr>
            <w:tcW w:w="1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11:43:59 (MSK+00:00) </w:t>
            </w:r>
          </w:p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100" w:hRule="atLeast"/>
        </w:trPr>
        <w:tc>
          <w:tcPr>
            <w:tcW w:w="104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20"/>
              </w:tabs>
              <w:jc w:val="center"/>
              <w:rPr>
                <w:sz w:val="21"/>
                <w:szCs w:val="21"/>
              </w:rPr>
            </w:pPr>
            <w:r>
              <w:rPr>
                <w:rFonts w:eastAsia="Times New Roman" w:cs="Times New Roman"/>
                <w:sz w:val="20"/>
                <w:szCs w:val="20"/>
              </w:rPr>
              <w:t>2</w:t>
            </w:r>
          </w:p>
        </w:tc>
        <w:tc>
          <w:tcPr>
            <w:tcW w:w="12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EA-123012</w:t>
            </w:r>
          </w:p>
        </w:tc>
        <w:tc>
          <w:tcPr>
            <w:tcW w:w="289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ОБЩЕСТВО С ОГРАНИЧЕННОЙ ОТВЕТСТВЕННОСТЬЮ "ЭСБИЭС ФАРМАСИ" </w:t>
            </w:r>
          </w:p>
        </w:tc>
        <w:tc>
          <w:tcPr>
            <w:tcW w:w="165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3123321867</w:t>
            </w:r>
          </w:p>
        </w:tc>
        <w:tc>
          <w:tcPr>
            <w:tcW w:w="16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3 155 559,75 руб.</w:t>
            </w:r>
          </w:p>
        </w:tc>
        <w:tc>
          <w:tcPr>
            <w:tcW w:w="167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11:43:11 (MSK+00:00) </w:t>
            </w:r>
          </w:p>
        </w:tc>
      </w:tr>
    </w:tbl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ab/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spacing w:lineRule="auto" w:line="240" w:before="0" w:after="0"/>
        <w:ind w:left="0" w:right="0" w:hanging="0"/>
        <w:jc w:val="both"/>
        <w:rPr>
          <w:rFonts w:eastAsia="Times New Roman"/>
          <w:sz w:val="20"/>
          <w:szCs w:val="20"/>
        </w:rPr>
      </w:pPr>
      <w:r>
        <w:rPr>
          <w:rFonts w:eastAsia="Times New Roman" w:cs="Times New Roman"/>
          <w:b w:val="false"/>
          <w:sz w:val="20"/>
          <w:szCs w:val="20"/>
        </w:rPr>
        <w:tab/>
        <w:t>Протокол составлен в одном экземпляре, который хранится в ОКУ «Центр закупок Курской области» и подписан всеми присутствующими членами аукционной комиссии.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Безродный Геннадий Владимирович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Пронская Светлана Александровна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Мартюшова Лилия Александровна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Чеверда Екатерина Александровна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Копейкина Екатерина Анатольевна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Courier New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Arial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20"/>
  <w:autoHyphenation w:val="true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character" w:styleId="CITE">
    <w:name w:val="CITE"/>
    <w:qFormat/>
    <w:rPr>
      <w:i/>
    </w:rPr>
  </w:style>
  <w:style w:type="character" w:styleId="CODE">
    <w:name w:val="CODE"/>
    <w:qFormat/>
    <w:rPr>
      <w:rFonts w:ascii="Courier New" w:hAnsi="Courier New"/>
      <w:sz w:val="20"/>
    </w:rPr>
  </w:style>
  <w:style w:type="character" w:styleId="Keyboard">
    <w:name w:val="Keyboard"/>
    <w:qFormat/>
    <w:rPr>
      <w:rFonts w:ascii="Courier New" w:hAnsi="Courier New"/>
      <w:b/>
      <w:sz w:val="20"/>
    </w:rPr>
  </w:style>
  <w:style w:type="character" w:styleId="Sample">
    <w:name w:val="Sample"/>
    <w:qFormat/>
    <w:rPr>
      <w:rFonts w:ascii="Courier New" w:hAnsi="Courier New"/>
    </w:rPr>
  </w:style>
  <w:style w:type="character" w:styleId="Strong">
    <w:name w:val="Strong"/>
    <w:qFormat/>
    <w:rPr>
      <w:b/>
    </w:rPr>
  </w:style>
  <w:style w:type="character" w:styleId="Typewriter">
    <w:name w:val="Typewriter"/>
    <w:qFormat/>
    <w:rPr>
      <w:rFonts w:ascii="Courier New" w:hAnsi="Courier New"/>
      <w:sz w:val="20"/>
    </w:rPr>
  </w:style>
  <w:style w:type="character" w:styleId="HTMLMarkup">
    <w:name w:val="HTML Markup"/>
    <w:qFormat/>
    <w:rPr>
      <w:vanish/>
      <w:color w:val="FF0000"/>
    </w:rPr>
  </w:style>
  <w:style w:type="character" w:styleId="Comment">
    <w:name w:val="Comment"/>
    <w:qFormat/>
    <w:rPr>
      <w:vanish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paragraph" w:styleId="Style25">
    <w:name w:val="Обычный"/>
    <w:qFormat/>
    <w:pPr>
      <w:widowControl/>
      <w:suppressAutoHyphens w:val="true"/>
      <w:bidi w:val="0"/>
      <w:spacing w:before="100" w:after="100"/>
      <w:jc w:val="left"/>
    </w:pPr>
    <w:rPr>
      <w:rFonts w:ascii="Times New Roman" w:hAnsi="Times New Roman" w:eastAsia="Arial" w:cs="Courier New"/>
      <w:color w:val="auto"/>
      <w:kern w:val="0"/>
      <w:sz w:val="24"/>
      <w:szCs w:val="24"/>
      <w:lang w:val="ru-RU" w:eastAsia="ru-RU" w:bidi="ar-SA"/>
    </w:rPr>
  </w:style>
  <w:style w:type="paragraph" w:styleId="DefinitionTerm">
    <w:name w:val="Definition Term"/>
    <w:basedOn w:val="Style25"/>
    <w:qFormat/>
    <w:pPr/>
    <w:rPr/>
  </w:style>
  <w:style w:type="paragraph" w:styleId="DefinitionList">
    <w:name w:val="Definition List"/>
    <w:basedOn w:val="Style25"/>
    <w:qFormat/>
    <w:pPr>
      <w:ind w:left="360" w:hanging="0"/>
    </w:pPr>
    <w:rPr/>
  </w:style>
  <w:style w:type="paragraph" w:styleId="H1">
    <w:name w:val="H1"/>
    <w:basedOn w:val="Style25"/>
    <w:qFormat/>
    <w:pPr>
      <w:keepNext w:val="true"/>
      <w:spacing w:before="100" w:after="100"/>
      <w:outlineLvl w:val="1"/>
    </w:pPr>
    <w:rPr>
      <w:b/>
      <w:kern w:val="2"/>
      <w:sz w:val="48"/>
    </w:rPr>
  </w:style>
  <w:style w:type="paragraph" w:styleId="H2">
    <w:name w:val="H2"/>
    <w:basedOn w:val="Style25"/>
    <w:qFormat/>
    <w:pPr>
      <w:keepNext w:val="true"/>
      <w:spacing w:before="100" w:after="100"/>
      <w:outlineLvl w:val="2"/>
    </w:pPr>
    <w:rPr>
      <w:b/>
      <w:sz w:val="36"/>
    </w:rPr>
  </w:style>
  <w:style w:type="paragraph" w:styleId="H3">
    <w:name w:val="H3"/>
    <w:basedOn w:val="Style25"/>
    <w:qFormat/>
    <w:pPr>
      <w:keepNext w:val="true"/>
      <w:spacing w:before="100" w:after="100"/>
      <w:outlineLvl w:val="3"/>
    </w:pPr>
    <w:rPr>
      <w:b/>
      <w:sz w:val="28"/>
    </w:rPr>
  </w:style>
  <w:style w:type="paragraph" w:styleId="H4">
    <w:name w:val="H4"/>
    <w:basedOn w:val="Style25"/>
    <w:qFormat/>
    <w:pPr>
      <w:keepNext w:val="true"/>
      <w:spacing w:before="100" w:after="100"/>
      <w:outlineLvl w:val="4"/>
    </w:pPr>
    <w:rPr>
      <w:b/>
      <w:sz w:val="24"/>
    </w:rPr>
  </w:style>
  <w:style w:type="paragraph" w:styleId="H5">
    <w:name w:val="H5"/>
    <w:basedOn w:val="Style25"/>
    <w:qFormat/>
    <w:pPr>
      <w:keepNext w:val="true"/>
      <w:spacing w:before="100" w:after="100"/>
      <w:outlineLvl w:val="5"/>
    </w:pPr>
    <w:rPr>
      <w:b/>
      <w:sz w:val="20"/>
    </w:rPr>
  </w:style>
  <w:style w:type="paragraph" w:styleId="H6">
    <w:name w:val="H6"/>
    <w:basedOn w:val="Style25"/>
    <w:qFormat/>
    <w:pPr>
      <w:keepNext w:val="true"/>
      <w:spacing w:before="100" w:after="100"/>
      <w:outlineLvl w:val="6"/>
    </w:pPr>
    <w:rPr>
      <w:b/>
      <w:sz w:val="16"/>
    </w:rPr>
  </w:style>
  <w:style w:type="paragraph" w:styleId="Address">
    <w:name w:val="Address"/>
    <w:basedOn w:val="Style25"/>
    <w:qFormat/>
    <w:pPr/>
    <w:rPr>
      <w:i/>
    </w:rPr>
  </w:style>
  <w:style w:type="paragraph" w:styleId="Blockquote">
    <w:name w:val="Blockquote"/>
    <w:basedOn w:val="Style25"/>
    <w:qFormat/>
    <w:pPr>
      <w:spacing w:before="100" w:after="100"/>
      <w:ind w:left="360" w:right="360" w:hanging="0"/>
    </w:pPr>
    <w:rPr/>
  </w:style>
  <w:style w:type="paragraph" w:styleId="Preformatted">
    <w:name w:val="Preformatted"/>
    <w:basedOn w:val="Style25"/>
    <w:qFormat/>
    <w:pPr>
      <w:tabs>
        <w:tab w:val="clear" w:pos="720"/>
        <w:tab w:val="left" w:pos="0" w:leader="none"/>
        <w:tab w:val="left" w:pos="959" w:leader="none"/>
        <w:tab w:val="left" w:pos="1918" w:leader="none"/>
        <w:tab w:val="left" w:pos="2877" w:leader="none"/>
        <w:tab w:val="left" w:pos="3836" w:leader="none"/>
        <w:tab w:val="left" w:pos="4795" w:leader="none"/>
        <w:tab w:val="left" w:pos="5754" w:leader="none"/>
        <w:tab w:val="left" w:pos="6713" w:leader="none"/>
        <w:tab w:val="left" w:pos="7672" w:leader="none"/>
        <w:tab w:val="left" w:pos="8631" w:leader="none"/>
        <w:tab w:val="left" w:pos="9590" w:leader="none"/>
      </w:tabs>
      <w:spacing w:before="0" w:after="0"/>
    </w:pPr>
    <w:rPr>
      <w:rFonts w:ascii="Courier New" w:hAnsi="Courier New"/>
      <w:sz w:val="20"/>
    </w:rPr>
  </w:style>
  <w:style w:type="paragraph" w:styleId="ZBottomofForm">
    <w:name w:val="z-Bottom of Form"/>
    <w:qFormat/>
    <w:pPr>
      <w:widowControl/>
      <w:pBdr>
        <w:top w:val="double" w:sz="2" w:space="0" w:color="000000"/>
      </w:pBdr>
      <w:suppressAutoHyphens w:val="true"/>
      <w:bidi w:val="0"/>
      <w:spacing w:before="0" w:after="0"/>
      <w:jc w:val="center"/>
    </w:pPr>
    <w:rPr>
      <w:rFonts w:ascii="Arial" w:hAnsi="Arial" w:eastAsia="Arial" w:cs="Courier New"/>
      <w:vanish/>
      <w:color w:val="auto"/>
      <w:kern w:val="0"/>
      <w:sz w:val="16"/>
      <w:szCs w:val="24"/>
      <w:lang w:val="ru-RU" w:eastAsia="ru-RU" w:bidi="ar-SA"/>
    </w:rPr>
  </w:style>
  <w:style w:type="paragraph" w:styleId="ZTopofForm">
    <w:name w:val="z-Top of Form"/>
    <w:qFormat/>
    <w:pPr>
      <w:widowControl/>
      <w:pBdr>
        <w:bottom w:val="double" w:sz="2" w:space="0" w:color="000000"/>
      </w:pBdr>
      <w:suppressAutoHyphens w:val="true"/>
      <w:bidi w:val="0"/>
      <w:spacing w:before="0" w:after="0"/>
      <w:jc w:val="center"/>
    </w:pPr>
    <w:rPr>
      <w:rFonts w:ascii="Arial" w:hAnsi="Arial" w:eastAsia="Arial" w:cs="Courier New"/>
      <w:vanish/>
      <w:color w:val="auto"/>
      <w:kern w:val="0"/>
      <w:sz w:val="16"/>
      <w:szCs w:val="24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Application>LibreOffice/6.4.3.2$Windows_x86 LibreOffice_project/747b5d0ebf89f41c860ec2a39efd7cb15b54f2d8</Application>
  <Pages>3</Pages>
  <Words>506</Words>
  <Characters>3936</Characters>
  <CharactersWithSpaces>4318</CharactersWithSpaces>
  <Paragraphs>135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2021-10-29T15:30:35Z</dcterms:modified>
  <cp:revision>17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DocumentEncoding">
    <vt:lpwstr>utf-8</vt:lpwstr>
  </property>
  <property fmtid="{D5CDD505-2E9C-101B-9397-08002B2CF9AE}" pid="6" name="HTML">
    <vt:bool>1</vt:bool>
  </property>
  <property fmtid="{D5CDD505-2E9C-101B-9397-08002B2CF9AE}" pid="7" name="HyperlinksChanged">
    <vt:bool>0</vt:bool>
  </property>
  <property fmtid="{D5CDD505-2E9C-101B-9397-08002B2CF9AE}" pid="8" name="LinksUpToDate">
    <vt:bool>0</vt:bool>
  </property>
  <property fmtid="{D5CDD505-2E9C-101B-9397-08002B2CF9AE}" pid="9" name="ScaleCrop">
    <vt:bool>0</vt:bool>
  </property>
  <property fmtid="{D5CDD505-2E9C-101B-9397-08002B2CF9AE}" pid="10" name="ShareDoc">
    <vt:bool>0</vt:bool>
  </property>
</Properties>
</file>