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№04-01/1830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 объектов, включающих подключение к пульту централизованного наблюдения систем охранной и тревожной сигнализации и оперативный выезд вооружённых мобильных групп быстрого реагирования на поступающие от них тревожные сообщения (извещения)"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28.12.21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охране объектов, включающих подключение к пульту централизованного наблюдения систем охранной и тревожной сигнализации и оперативный выезд вооружённых мобильных групп быстрого реагирования на поступающие от них тревожные сообщения (извещения)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212461700143546170100101150018010244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452 629,20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380 208,52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402 839,98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4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4"/>
        </w:rPr>
      </w:pPr>
      <w:r>
        <w:rPr>
          <w:rFonts w:eastAsia="Times New Roman" w:ascii="Times New Roman" w:hAnsi="Times New Roman"/>
          <w:b w:val="false"/>
          <w:bCs w:val="false"/>
          <w:sz w:val="20"/>
          <w:szCs w:val="20"/>
        </w:rPr>
        <w:t xml:space="preserve"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cc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2</Pages>
  <Words>593</Words>
  <Characters>4909</Characters>
  <CharactersWithSpaces>5376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2021-12-28T12:44:39Z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