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pacing w:val="20"/>
          <w:sz w:val="22"/>
          <w:szCs w:val="22"/>
          <w:shd w:fill="auto" w:val="clear"/>
          <w:lang w:eastAsia="ru-RU"/>
        </w:rPr>
        <w:t>№ 06-01/</w:t>
      </w:r>
      <w:r>
        <w:rPr>
          <w:rFonts w:eastAsia="Times New Roman" w:cs="Times New Roman"/>
          <w:b/>
          <w:bCs/>
          <w:color w:val="000000"/>
          <w:spacing w:val="20"/>
          <w:sz w:val="22"/>
          <w:szCs w:val="22"/>
          <w:shd w:fill="auto" w:val="clear"/>
          <w:lang w:val="en-US" w:eastAsia="ru-RU"/>
        </w:rPr>
        <w:t>1790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left="0" w:right="0" w:firstLine="567"/>
        <w:jc w:val="righ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shd w:fill="auto" w:val="clear"/>
          <w:lang w:val="en-US"/>
        </w:rPr>
        <w:t>30</w:t>
      </w:r>
      <w:r>
        <w:rPr>
          <w:rFonts w:eastAsia="Times New Roman"/>
          <w:sz w:val="20"/>
          <w:szCs w:val="20"/>
          <w:shd w:fill="auto" w:val="clear"/>
          <w:lang w:val="en-US"/>
        </w:rPr>
        <w:t>.12</w:t>
      </w:r>
      <w:r>
        <w:rPr>
          <w:rFonts w:eastAsia="Times New Roman"/>
          <w:sz w:val="20"/>
          <w:szCs w:val="20"/>
          <w:lang w:val="en-US"/>
        </w:rPr>
        <w:t xml:space="preserve">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вакуумных пробирок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212462904029146320100104620023250244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611 520,00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Мазепкина Юлия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EA-141656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24.12.21 14:44:34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EA-141999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13:05:10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EA-142015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14:00:36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EA-142283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10:17:34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EA-142310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10:59:20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EA-142363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12:25:38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22:46:38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EA-142633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22:56:12 (MSK+00:00)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EA-141656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EA-141656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EA-141656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EA-141656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Мазепкина Юлия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EA-141656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EA-141656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EA-141999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EA-141999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EA-141999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EA-141999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Мазепкина Юлия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EA-141999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EA-141999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EA-142015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EA-142015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EA-142015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EA-142015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Мазепкина Юлия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EA-142015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EA-142015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EA-142283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EA-142283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EA-142283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EA-142283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Мазепкина Юлия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EA-142283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EA-142283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EA-142310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Мазепкина Юлия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EA-142363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EA-142363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EA-142363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EA-142363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Мазепкина Юлия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EA-142363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EA-142363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Мазепкина Юлия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Мазепкина Юлия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/>
      </w:pPr>
      <w:r>
        <w:rPr>
          <w:rFonts w:eastAsia="Times New Roman"/>
          <w:b w:val="false"/>
          <w:bCs w:val="false"/>
          <w:sz w:val="22"/>
          <w:szCs w:val="22"/>
        </w:rPr>
        <w:t xml:space="preserve">Заявка Участника с Идентификационным номером </w:t>
      </w:r>
      <w:r>
        <w:rPr>
          <w:rFonts w:eastAsia="Times New Roman"/>
          <w:b w:val="false"/>
          <w:bCs w:val="false"/>
          <w:sz w:val="22"/>
          <w:szCs w:val="22"/>
          <w:lang w:val="en-US"/>
        </w:rPr>
        <w:t>EA-142310</w:t>
      </w:r>
      <w:r>
        <w:rPr>
          <w:rFonts w:eastAsia="Times New Roman"/>
          <w:b w:val="false"/>
          <w:bCs w:val="false"/>
          <w:sz w:val="22"/>
          <w:szCs w:val="22"/>
        </w:rPr>
        <w:t xml:space="preserve"> .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 w:val="false"/>
          <w:bCs w:val="false"/>
          <w:sz w:val="22"/>
          <w:szCs w:val="22"/>
        </w:rPr>
        <w:t>Причины отклонения: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 w:val="false"/>
          <w:bCs w:val="false"/>
          <w:sz w:val="22"/>
          <w:szCs w:val="22"/>
        </w:rPr>
        <w:t xml:space="preserve">В соответствии с п. 2 ч.4 ст.67 №44-ФЗ 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нужд», конкретных показателей, соответствующих значениям, установленным в аукционной документации, в соответствии с требованиями ч. 11, 38 документации, а именно: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 w:val="false"/>
          <w:bCs w:val="false"/>
          <w:sz w:val="22"/>
          <w:szCs w:val="22"/>
        </w:rPr>
        <w:t>1)В первой части заявки заказчику не возможно определить предложенный к поставке объем пробирок., заявка содержит  двоякое толкование показателя товара, а именно:</w:t>
      </w:r>
    </w:p>
    <w:p>
      <w:pPr>
        <w:pStyle w:val="Normal"/>
        <w:rPr>
          <w:rFonts w:eastAsia="Times New Roman"/>
          <w:b w:val="false"/>
          <w:b w:val="false"/>
          <w:bCs w:val="false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</w:r>
    </w:p>
    <w:tbl>
      <w:tblPr>
        <w:tblpPr w:bottomFromText="0" w:horzAnchor="text" w:leftFromText="180" w:rightFromText="180" w:tblpX="0" w:tblpY="1" w:topFromText="0" w:vertAnchor="text"/>
        <w:tblW w:w="5000" w:type="pct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4"/>
        <w:gridCol w:w="3517"/>
        <w:gridCol w:w="3265"/>
        <w:gridCol w:w="2485"/>
      </w:tblGrid>
      <w:tr>
        <w:trPr/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№ </w:t>
            </w:r>
            <w:r>
              <w:rPr>
                <w:rFonts w:cs="Times New Roman"/>
                <w:sz w:val="20"/>
                <w:szCs w:val="20"/>
              </w:rPr>
              <w:t>п/п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Наименование товара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(работ, услуг)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Функциональные, технические и качественные характеристики, эксплуатационные характеристики объекта закупки (при необходимости)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Показатели товара (работ, услуг)</w:t>
            </w:r>
          </w:p>
        </w:tc>
      </w:tr>
      <w:tr>
        <w:trPr>
          <w:trHeight w:val="305" w:hRule="atLeast"/>
        </w:trPr>
        <w:tc>
          <w:tcPr>
            <w:tcW w:w="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3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Вакуумные пробирки UNIVAC®, </w:t>
            </w:r>
            <w:r>
              <w:rPr>
                <w:rFonts w:cs="Times New Roman"/>
                <w:b/>
                <w:bCs/>
                <w:sz w:val="20"/>
                <w:szCs w:val="20"/>
              </w:rPr>
              <w:t>2 мл</w:t>
            </w:r>
            <w:r>
              <w:rPr>
                <w:rFonts w:cs="Times New Roman"/>
                <w:sz w:val="20"/>
                <w:szCs w:val="20"/>
              </w:rPr>
              <w:t>, 13х75 мм, К2 ЭДТА, 100 шт./уп.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Россия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Высота 75 Миллиметр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соответствие</w:t>
            </w:r>
          </w:p>
        </w:tc>
      </w:tr>
      <w:tr>
        <w:trPr>
          <w:trHeight w:val="180" w:hRule="atLeast"/>
        </w:trPr>
        <w:tc>
          <w:tcPr>
            <w:tcW w:w="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</w:r>
          </w:p>
        </w:tc>
        <w:tc>
          <w:tcPr>
            <w:tcW w:w="35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Диаметр 13 Миллиметр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соответствие</w:t>
            </w:r>
          </w:p>
        </w:tc>
      </w:tr>
      <w:tr>
        <w:trPr>
          <w:trHeight w:val="180" w:hRule="atLeast"/>
        </w:trPr>
        <w:tc>
          <w:tcPr>
            <w:tcW w:w="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</w:r>
          </w:p>
        </w:tc>
        <w:tc>
          <w:tcPr>
            <w:tcW w:w="35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Неважно</w:t>
            </w:r>
          </w:p>
        </w:tc>
      </w:tr>
      <w:tr>
        <w:trPr>
          <w:trHeight w:val="222" w:hRule="atLeast"/>
        </w:trPr>
        <w:tc>
          <w:tcPr>
            <w:tcW w:w="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</w:r>
          </w:p>
        </w:tc>
        <w:tc>
          <w:tcPr>
            <w:tcW w:w="35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Материал пробирки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Пластик</w:t>
            </w:r>
          </w:p>
        </w:tc>
      </w:tr>
      <w:tr>
        <w:trPr>
          <w:trHeight w:val="392" w:hRule="atLeast"/>
        </w:trPr>
        <w:tc>
          <w:tcPr>
            <w:tcW w:w="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</w:r>
          </w:p>
        </w:tc>
        <w:tc>
          <w:tcPr>
            <w:tcW w:w="35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bidi="en-US"/>
              </w:rPr>
              <w:t>Объем 4 Кубический сантиметр;^миллилитр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соответствие</w:t>
            </w:r>
          </w:p>
        </w:tc>
      </w:tr>
    </w:tbl>
    <w:p>
      <w:pPr>
        <w:pStyle w:val="Normal"/>
        <w:widowControl w:val="false"/>
        <w:jc w:val="center"/>
        <w:rPr>
          <w:rFonts w:ascii="Times New Roman" w:hAnsi="Times New Roman" w:eastAsia="Times New Roman" w:cs="Times New Roman"/>
          <w:b/>
          <w:b/>
          <w:bCs w:val="false"/>
          <w:sz w:val="20"/>
          <w:szCs w:val="20"/>
        </w:rPr>
      </w:pPr>
      <w:r>
        <w:rPr>
          <w:rFonts w:eastAsia="Times New Roman" w:cs="Times New Roman"/>
          <w:b/>
          <w:bCs w:val="false"/>
          <w:sz w:val="20"/>
          <w:szCs w:val="20"/>
        </w:rPr>
      </w:r>
    </w:p>
    <w:p>
      <w:pPr>
        <w:pStyle w:val="Normal"/>
        <w:rPr>
          <w:shd w:fill="auto" w:val="clear"/>
        </w:rPr>
      </w:pPr>
      <w:r>
        <w:rPr>
          <w:rFonts w:cs="Times New Roman"/>
          <w:sz w:val="20"/>
          <w:szCs w:val="20"/>
          <w:shd w:fill="auto" w:val="clear"/>
        </w:rPr>
        <w:t>Среди предложений участников закупки, признанных участниками закупки,  имеются  предложения о поставке товаров, происходящих из иностранного государства или группы иностранных государств</w:t>
      </w:r>
    </w:p>
    <w:p>
      <w:pPr>
        <w:pStyle w:val="Normal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tbl>
      <w:tblPr>
        <w:tblW w:w="10296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62"/>
        <w:gridCol w:w="9233"/>
      </w:tblGrid>
      <w:tr>
        <w:trPr/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rPr>
                <w:rFonts w:ascii="Times New Roman" w:hAnsi="Times New Roman" w:cs="Times New Roman"/>
                <w:b/>
                <w:b/>
                <w:sz w:val="16"/>
                <w:szCs w:val="16"/>
                <w:shd w:fill="auto" w:val="clear"/>
              </w:rPr>
            </w:pPr>
            <w:r>
              <w:rPr>
                <w:rFonts w:cs="Times New Roman"/>
                <w:b/>
                <w:sz w:val="16"/>
                <w:szCs w:val="16"/>
                <w:shd w:fill="auto" w:val="clear"/>
              </w:rPr>
              <w:t>Идентификационный номер заявки</w:t>
            </w:r>
          </w:p>
        </w:tc>
        <w:tc>
          <w:tcPr>
            <w:tcW w:w="9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cs="Times New Roman"/>
                <w:b/>
                <w:b/>
                <w:bCs/>
                <w:color w:val="000000"/>
                <w:sz w:val="16"/>
                <w:szCs w:val="16"/>
                <w:shd w:fill="auto" w:val="clear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shd w:fill="auto" w:val="clear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происходящий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 в соответствии со ст.14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>
        <w:trPr/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EA-141656</w:t>
            </w:r>
          </w:p>
        </w:tc>
        <w:tc>
          <w:tcPr>
            <w:tcW w:w="9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 xml:space="preserve"> </w:t>
            </w:r>
            <w:r>
              <w:rPr>
                <w:sz w:val="20"/>
                <w:szCs w:val="20"/>
                <w:shd w:fill="auto" w:val="clear"/>
              </w:rPr>
              <w:t>Содержит</w:t>
            </w:r>
          </w:p>
        </w:tc>
      </w:tr>
      <w:tr>
        <w:trPr/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EA-141999</w:t>
            </w:r>
          </w:p>
        </w:tc>
        <w:tc>
          <w:tcPr>
            <w:tcW w:w="9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Содержит</w:t>
            </w:r>
          </w:p>
        </w:tc>
      </w:tr>
      <w:tr>
        <w:trPr/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EA-142015</w:t>
            </w:r>
          </w:p>
        </w:tc>
        <w:tc>
          <w:tcPr>
            <w:tcW w:w="9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Не содержит</w:t>
            </w:r>
          </w:p>
        </w:tc>
      </w:tr>
      <w:tr>
        <w:trPr/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EA-142283</w:t>
            </w:r>
          </w:p>
        </w:tc>
        <w:tc>
          <w:tcPr>
            <w:tcW w:w="9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Содержит</w:t>
            </w:r>
          </w:p>
        </w:tc>
      </w:tr>
      <w:tr>
        <w:trPr/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EA-142363</w:t>
            </w:r>
          </w:p>
        </w:tc>
        <w:tc>
          <w:tcPr>
            <w:tcW w:w="9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Не содержит</w:t>
            </w:r>
          </w:p>
        </w:tc>
      </w:tr>
      <w:tr>
        <w:trPr/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EA-142631</w:t>
            </w:r>
          </w:p>
        </w:tc>
        <w:tc>
          <w:tcPr>
            <w:tcW w:w="9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Содержит</w:t>
            </w:r>
          </w:p>
        </w:tc>
      </w:tr>
      <w:tr>
        <w:trPr>
          <w:trHeight w:val="94" w:hRule="atLeast"/>
        </w:trPr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EA-142633</w:t>
            </w:r>
          </w:p>
        </w:tc>
        <w:tc>
          <w:tcPr>
            <w:tcW w:w="92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Содержит</w:t>
            </w:r>
          </w:p>
        </w:tc>
      </w:tr>
    </w:tbl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Application>LibreOffice/7.1.0.3$Windows_X86_64 LibreOffice_project/f6099ecf3d29644b5008cc8f48f42f4a40986e4c</Application>
  <AppVersion>15.0000</AppVersion>
  <Pages>4</Pages>
  <Words>976</Words>
  <Characters>7140</Characters>
  <CharactersWithSpaces>7800</CharactersWithSpaces>
  <Paragraphs>338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2021-12-30T13:32:33Z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